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1F9F" w14:textId="77777777" w:rsidR="00D86854" w:rsidRPr="00D142C3" w:rsidRDefault="00D86854" w:rsidP="00841185">
      <w:pPr>
        <w:shd w:val="clear" w:color="auto" w:fill="C0C0C0"/>
        <w:ind w:left="-567" w:right="-993" w:firstLine="1275"/>
        <w:rPr>
          <w:rFonts w:ascii="Arial" w:hAnsi="Arial"/>
          <w:color w:val="17365D"/>
          <w:sz w:val="16"/>
        </w:rPr>
      </w:pPr>
    </w:p>
    <w:p w14:paraId="00150D27" w14:textId="77777777" w:rsidR="00D86854" w:rsidRPr="00D142C3" w:rsidRDefault="009C7CBC" w:rsidP="00022231">
      <w:pPr>
        <w:shd w:val="clear" w:color="auto" w:fill="C0C0C0"/>
        <w:ind w:left="-567" w:right="-993"/>
        <w:jc w:val="center"/>
        <w:rPr>
          <w:b/>
          <w:color w:val="548DD4"/>
        </w:rPr>
      </w:pPr>
      <w:r w:rsidRPr="00D142C3">
        <w:rPr>
          <w:rFonts w:ascii="Arial" w:hAnsi="Arial"/>
          <w:b/>
          <w:color w:val="548DD4"/>
          <w:sz w:val="28"/>
        </w:rPr>
        <w:t>LETTRE D'INFORMATION DES DIRECTEURS</w:t>
      </w:r>
      <w:r w:rsidRPr="00D142C3">
        <w:rPr>
          <w:rFonts w:ascii="Arial" w:hAnsi="Arial"/>
          <w:b/>
          <w:color w:val="548DD4"/>
          <w:sz w:val="32"/>
        </w:rPr>
        <w:t xml:space="preserve"> </w:t>
      </w:r>
      <w:r w:rsidRPr="00D142C3">
        <w:rPr>
          <w:rFonts w:ascii="Arial" w:hAnsi="Arial"/>
          <w:b/>
          <w:color w:val="548DD4"/>
          <w:sz w:val="28"/>
        </w:rPr>
        <w:t xml:space="preserve">– </w:t>
      </w:r>
      <w:r w:rsidRPr="00D142C3">
        <w:rPr>
          <w:rFonts w:ascii="Arial" w:hAnsi="Arial"/>
          <w:b/>
          <w:color w:val="548DD4"/>
          <w:sz w:val="22"/>
          <w:szCs w:val="22"/>
        </w:rPr>
        <w:t>N°</w:t>
      </w:r>
      <w:r w:rsidR="00FD3311">
        <w:rPr>
          <w:rFonts w:ascii="Arial" w:hAnsi="Arial"/>
          <w:b/>
          <w:color w:val="548DD4"/>
          <w:sz w:val="22"/>
          <w:szCs w:val="22"/>
        </w:rPr>
        <w:t>569</w:t>
      </w:r>
      <w:r w:rsidR="00366540">
        <w:rPr>
          <w:rFonts w:ascii="Arial" w:hAnsi="Arial"/>
          <w:b/>
          <w:color w:val="548DD4"/>
          <w:sz w:val="22"/>
          <w:szCs w:val="22"/>
        </w:rPr>
        <w:t xml:space="preserve"> </w:t>
      </w:r>
      <w:r w:rsidR="00C44558" w:rsidRPr="00D142C3">
        <w:rPr>
          <w:rFonts w:ascii="Arial" w:hAnsi="Arial"/>
          <w:b/>
          <w:color w:val="548DD4"/>
          <w:sz w:val="22"/>
          <w:szCs w:val="22"/>
        </w:rPr>
        <w:t xml:space="preserve">en date </w:t>
      </w:r>
      <w:r w:rsidRPr="00D142C3">
        <w:rPr>
          <w:rFonts w:ascii="Arial" w:hAnsi="Arial"/>
          <w:b/>
          <w:color w:val="548DD4"/>
          <w:sz w:val="22"/>
          <w:szCs w:val="22"/>
        </w:rPr>
        <w:t>du</w:t>
      </w:r>
      <w:r w:rsidR="001E29BE">
        <w:rPr>
          <w:rFonts w:ascii="Arial" w:hAnsi="Arial"/>
          <w:b/>
          <w:color w:val="548DD4"/>
          <w:sz w:val="22"/>
          <w:szCs w:val="22"/>
        </w:rPr>
        <w:t xml:space="preserve"> </w:t>
      </w:r>
      <w:r w:rsidR="00FD3311">
        <w:rPr>
          <w:rFonts w:ascii="Arial" w:hAnsi="Arial"/>
          <w:b/>
          <w:color w:val="548DD4"/>
          <w:sz w:val="22"/>
          <w:szCs w:val="22"/>
        </w:rPr>
        <w:t>22 Novembre 2021</w:t>
      </w:r>
    </w:p>
    <w:p w14:paraId="42A64458" w14:textId="77777777" w:rsidR="00D86854" w:rsidRDefault="00D86854">
      <w:pPr>
        <w:ind w:left="-567" w:right="-567"/>
      </w:pPr>
    </w:p>
    <w:p w14:paraId="7F98C021" w14:textId="77777777" w:rsidR="00DC3413" w:rsidRDefault="009C7CBC" w:rsidP="00366540">
      <w:pPr>
        <w:ind w:left="-567" w:right="-567"/>
        <w:rPr>
          <w:rFonts w:ascii="Arial" w:hAnsi="Arial" w:cs="Arial"/>
        </w:rPr>
      </w:pPr>
      <w:r w:rsidRPr="00FE20AE">
        <w:rPr>
          <w:rFonts w:ascii="Arial" w:hAnsi="Arial" w:cs="Arial"/>
          <w:sz w:val="22"/>
          <w:szCs w:val="22"/>
          <w:u w:val="single"/>
        </w:rPr>
        <w:t>Pensée du moment</w:t>
      </w:r>
      <w:r>
        <w:rPr>
          <w:rFonts w:ascii="Arial" w:hAnsi="Arial" w:cs="Arial"/>
          <w:sz w:val="22"/>
          <w:szCs w:val="22"/>
        </w:rPr>
        <w:t xml:space="preserve"> : </w:t>
      </w:r>
      <w:r w:rsidR="00FE20AE">
        <w:rPr>
          <w:rFonts w:ascii="Arial" w:hAnsi="Arial" w:cs="Arial"/>
          <w:sz w:val="22"/>
          <w:szCs w:val="22"/>
        </w:rPr>
        <w:t>« </w:t>
      </w:r>
      <w:r w:rsidR="00FE20AE" w:rsidRPr="00A837DF">
        <w:rPr>
          <w:rFonts w:ascii="Arial" w:hAnsi="Arial" w:cs="Arial"/>
          <w:b/>
          <w:bCs/>
          <w:i/>
          <w:iCs/>
          <w:color w:val="4472C4" w:themeColor="accent1"/>
          <w:sz w:val="22"/>
          <w:szCs w:val="22"/>
        </w:rPr>
        <w:t>Un objet quelconque n’a de valeur qu’à proportion du désir ou de l’amour que nous lui portons. Le problème n’est pas de savoir si la vie à un sens, ni lequel, mais si nous l’aimons assez pour qu’elle vaille la peine d’être vécue</w:t>
      </w:r>
      <w:r w:rsidR="00FE20AE">
        <w:rPr>
          <w:rFonts w:ascii="Arial" w:hAnsi="Arial" w:cs="Arial"/>
          <w:sz w:val="22"/>
          <w:szCs w:val="22"/>
        </w:rPr>
        <w:t xml:space="preserve">. ». André COMTE-SPONVILLE </w:t>
      </w:r>
      <w:r w:rsidR="00A837DF">
        <w:rPr>
          <w:rFonts w:ascii="Arial" w:hAnsi="Arial" w:cs="Arial"/>
          <w:sz w:val="22"/>
          <w:szCs w:val="22"/>
        </w:rPr>
        <w:t xml:space="preserve">- </w:t>
      </w:r>
      <w:r w:rsidR="00FE20AE" w:rsidRPr="00FE20AE">
        <w:rPr>
          <w:rFonts w:ascii="Arial" w:hAnsi="Arial" w:cs="Arial"/>
          <w:i/>
          <w:iCs/>
          <w:sz w:val="22"/>
          <w:szCs w:val="22"/>
        </w:rPr>
        <w:t>C’est chose tendre que la vie</w:t>
      </w:r>
      <w:r w:rsidR="00FE20AE">
        <w:rPr>
          <w:rFonts w:ascii="Arial" w:hAnsi="Arial" w:cs="Arial"/>
          <w:sz w:val="22"/>
          <w:szCs w:val="22"/>
        </w:rPr>
        <w:t>.</w:t>
      </w:r>
    </w:p>
    <w:p w14:paraId="220FA980" w14:textId="77777777" w:rsidR="007940A3" w:rsidRDefault="007940A3" w:rsidP="00366540">
      <w:pPr>
        <w:ind w:left="-567" w:right="-567"/>
        <w:rPr>
          <w:rFonts w:ascii="Arial" w:hAnsi="Arial" w:cs="Arial"/>
        </w:rPr>
      </w:pPr>
    </w:p>
    <w:p w14:paraId="4DE6628C" w14:textId="77777777" w:rsidR="007940A3" w:rsidRPr="00366540" w:rsidRDefault="007940A3" w:rsidP="00366540">
      <w:pPr>
        <w:ind w:left="-567" w:right="-567"/>
        <w:rPr>
          <w:rFonts w:ascii="Arial" w:hAnsi="Arial" w:cs="Arial"/>
          <w:sz w:val="22"/>
          <w:szCs w:val="22"/>
        </w:rPr>
        <w:sectPr w:rsidR="007940A3" w:rsidRPr="00366540">
          <w:headerReference w:type="default" r:id="rId8"/>
          <w:footerReference w:type="default" r:id="rId9"/>
          <w:pgSz w:w="11906" w:h="16838"/>
          <w:pgMar w:top="1417" w:right="1417" w:bottom="1417" w:left="1417" w:header="720" w:footer="720" w:gutter="0"/>
          <w:cols w:space="720"/>
        </w:sectPr>
      </w:pPr>
    </w:p>
    <w:p w14:paraId="5DC710ED" w14:textId="532682E3" w:rsidR="00544C47" w:rsidRPr="00F10C40" w:rsidRDefault="009C7CBC" w:rsidP="00F10C40">
      <w:pPr>
        <w:pBdr>
          <w:top w:val="single" w:sz="4" w:space="0" w:color="auto"/>
          <w:left w:val="single" w:sz="4" w:space="4" w:color="auto"/>
          <w:bottom w:val="single" w:sz="4" w:space="1" w:color="auto"/>
          <w:right w:val="single" w:sz="4" w:space="4" w:color="auto"/>
        </w:pBdr>
        <w:shd w:val="clear" w:color="auto" w:fill="FFFFFF"/>
        <w:rPr>
          <w:rFonts w:ascii="Arial" w:hAnsi="Arial"/>
          <w:sz w:val="24"/>
          <w:szCs w:val="24"/>
        </w:rPr>
      </w:pPr>
      <w:bookmarkStart w:id="0" w:name="_Hlk88324100"/>
      <w:r>
        <w:rPr>
          <w:rFonts w:ascii="Arial" w:hAnsi="Arial"/>
          <w:b/>
          <w:sz w:val="24"/>
          <w:szCs w:val="24"/>
        </w:rPr>
        <w:t xml:space="preserve"> </w:t>
      </w:r>
      <w:r w:rsidR="00366540">
        <w:rPr>
          <w:rFonts w:ascii="Arial" w:hAnsi="Arial"/>
          <w:b/>
          <w:sz w:val="24"/>
          <w:szCs w:val="24"/>
        </w:rPr>
        <w:t>1</w:t>
      </w:r>
      <w:r>
        <w:rPr>
          <w:rFonts w:ascii="Arial" w:hAnsi="Arial"/>
          <w:b/>
          <w:sz w:val="24"/>
          <w:szCs w:val="24"/>
        </w:rPr>
        <w:t xml:space="preserve"> – NOUVE</w:t>
      </w:r>
      <w:r w:rsidR="00FE20AE">
        <w:rPr>
          <w:rFonts w:ascii="Arial" w:hAnsi="Arial"/>
          <w:b/>
          <w:sz w:val="24"/>
          <w:szCs w:val="24"/>
        </w:rPr>
        <w:t>LLES DE LA FEDERATION</w:t>
      </w:r>
      <w:r>
        <w:rPr>
          <w:rFonts w:ascii="Arial" w:hAnsi="Arial"/>
          <w:b/>
          <w:sz w:val="24"/>
          <w:szCs w:val="24"/>
        </w:rPr>
        <w:t xml:space="preserve"> </w:t>
      </w:r>
      <w:r w:rsidRPr="00F435E5">
        <w:rPr>
          <w:rFonts w:ascii="Arial" w:hAnsi="Arial"/>
          <w:b/>
          <w:sz w:val="24"/>
          <w:szCs w:val="24"/>
        </w:rPr>
        <w:t xml:space="preserve">  </w:t>
      </w:r>
      <w:bookmarkEnd w:id="0"/>
    </w:p>
    <w:p w14:paraId="33586E97" w14:textId="275A6D79" w:rsidR="00FE20AE" w:rsidRDefault="009C7CBC" w:rsidP="00544C47">
      <w:pPr>
        <w:jc w:val="both"/>
        <w:rPr>
          <w:rFonts w:ascii="Arial" w:hAnsi="Arial" w:cs="Arial"/>
          <w:sz w:val="22"/>
          <w:szCs w:val="22"/>
        </w:rPr>
      </w:pPr>
      <w:r w:rsidRPr="00F10C40">
        <w:rPr>
          <w:rFonts w:ascii="Arial" w:hAnsi="Arial" w:cs="Arial"/>
          <w:sz w:val="22"/>
          <w:szCs w:val="22"/>
        </w:rPr>
        <w:t xml:space="preserve">Lors de </w:t>
      </w:r>
      <w:r w:rsidRPr="00F10C40">
        <w:rPr>
          <w:rFonts w:ascii="Arial" w:hAnsi="Arial" w:cs="Arial"/>
          <w:b/>
          <w:bCs/>
          <w:color w:val="4472C4" w:themeColor="accent1"/>
          <w:sz w:val="22"/>
          <w:szCs w:val="22"/>
        </w:rPr>
        <w:t xml:space="preserve">l’Instance Paritaire de </w:t>
      </w:r>
      <w:r w:rsidR="004A023A" w:rsidRPr="00F10C40">
        <w:rPr>
          <w:rFonts w:ascii="Arial" w:hAnsi="Arial" w:cs="Arial"/>
          <w:b/>
          <w:bCs/>
          <w:color w:val="4472C4" w:themeColor="accent1"/>
          <w:sz w:val="22"/>
          <w:szCs w:val="22"/>
        </w:rPr>
        <w:t>Négociation (</w:t>
      </w:r>
      <w:r w:rsidRPr="00F10C40">
        <w:rPr>
          <w:rFonts w:ascii="Arial" w:hAnsi="Arial" w:cs="Arial"/>
          <w:b/>
          <w:bCs/>
          <w:color w:val="4472C4" w:themeColor="accent1"/>
          <w:sz w:val="22"/>
          <w:szCs w:val="22"/>
        </w:rPr>
        <w:t>I.P.N.)</w:t>
      </w:r>
      <w:r w:rsidRPr="00F10C40">
        <w:rPr>
          <w:rFonts w:ascii="Arial" w:hAnsi="Arial" w:cs="Arial"/>
          <w:b/>
          <w:bCs/>
          <w:sz w:val="22"/>
          <w:szCs w:val="22"/>
        </w:rPr>
        <w:t xml:space="preserve"> </w:t>
      </w:r>
      <w:r w:rsidRPr="00F10C40">
        <w:rPr>
          <w:rFonts w:ascii="Arial" w:hAnsi="Arial" w:cs="Arial"/>
          <w:sz w:val="22"/>
          <w:szCs w:val="22"/>
        </w:rPr>
        <w:t>qui s’est tenue à Paris le 17 Novembre, le point principal à l’ordre du jour était cel</w:t>
      </w:r>
      <w:r w:rsidR="006D2853" w:rsidRPr="00F10C40">
        <w:rPr>
          <w:rFonts w:ascii="Arial" w:hAnsi="Arial" w:cs="Arial"/>
          <w:sz w:val="22"/>
          <w:szCs w:val="22"/>
        </w:rPr>
        <w:t>ui</w:t>
      </w:r>
      <w:r w:rsidRPr="00F10C40">
        <w:rPr>
          <w:rFonts w:ascii="Arial" w:hAnsi="Arial" w:cs="Arial"/>
          <w:sz w:val="22"/>
          <w:szCs w:val="22"/>
        </w:rPr>
        <w:t xml:space="preserve"> de la </w:t>
      </w:r>
      <w:r w:rsidRPr="00F10C40">
        <w:rPr>
          <w:rFonts w:ascii="Arial" w:hAnsi="Arial" w:cs="Arial"/>
          <w:b/>
          <w:bCs/>
          <w:color w:val="833C0B" w:themeColor="accent2" w:themeShade="80"/>
          <w:sz w:val="22"/>
          <w:szCs w:val="22"/>
        </w:rPr>
        <w:t>Préfiguration de la future CPPNI de branche (OPH/COOP)</w:t>
      </w:r>
      <w:r w:rsidR="001C3768" w:rsidRPr="00F10C40">
        <w:rPr>
          <w:rFonts w:ascii="Arial" w:hAnsi="Arial" w:cs="Arial"/>
          <w:b/>
          <w:bCs/>
          <w:color w:val="833C0B" w:themeColor="accent2" w:themeShade="80"/>
          <w:sz w:val="22"/>
          <w:szCs w:val="22"/>
        </w:rPr>
        <w:t xml:space="preserve"> </w:t>
      </w:r>
      <w:r w:rsidR="001C3768" w:rsidRPr="00F10C40">
        <w:rPr>
          <w:rFonts w:ascii="Arial" w:hAnsi="Arial" w:cs="Arial"/>
          <w:bCs/>
          <w:sz w:val="22"/>
          <w:szCs w:val="22"/>
        </w:rPr>
        <w:t>et la discussion sur un projet d’accord permettant de la mettre en place dès que les arrêtés de représentativité seront pris (attendus dans le mois qui vient)</w:t>
      </w:r>
      <w:r w:rsidRPr="00F10C40">
        <w:rPr>
          <w:rFonts w:ascii="Arial" w:hAnsi="Arial" w:cs="Arial"/>
          <w:bCs/>
          <w:sz w:val="22"/>
          <w:szCs w:val="22"/>
        </w:rPr>
        <w:t>.</w:t>
      </w:r>
      <w:r w:rsidRPr="00F10C40">
        <w:rPr>
          <w:rFonts w:ascii="Arial" w:hAnsi="Arial" w:cs="Arial"/>
          <w:sz w:val="22"/>
          <w:szCs w:val="22"/>
        </w:rPr>
        <w:t xml:space="preserve"> </w:t>
      </w:r>
    </w:p>
    <w:p w14:paraId="62977005" w14:textId="77777777" w:rsidR="00075642" w:rsidRPr="00A225FD" w:rsidRDefault="009C7CBC" w:rsidP="00A225FD">
      <w:pPr>
        <w:pBdr>
          <w:top w:val="single" w:sz="4" w:space="0" w:color="auto"/>
          <w:left w:val="single" w:sz="4" w:space="4" w:color="auto"/>
          <w:bottom w:val="single" w:sz="4" w:space="1" w:color="auto"/>
          <w:right w:val="single" w:sz="4" w:space="4" w:color="auto"/>
        </w:pBdr>
        <w:shd w:val="clear" w:color="auto" w:fill="FFFFFF"/>
        <w:rPr>
          <w:rFonts w:ascii="Arial" w:hAnsi="Arial"/>
          <w:sz w:val="24"/>
          <w:szCs w:val="24"/>
        </w:rPr>
      </w:pPr>
      <w:r>
        <w:rPr>
          <w:rFonts w:ascii="Arial" w:hAnsi="Arial"/>
          <w:b/>
          <w:sz w:val="24"/>
          <w:szCs w:val="24"/>
        </w:rPr>
        <w:t xml:space="preserve">         2 – NOUVEAUX TEXTES </w:t>
      </w:r>
      <w:r w:rsidRPr="00F435E5">
        <w:rPr>
          <w:rFonts w:ascii="Arial" w:hAnsi="Arial"/>
          <w:b/>
          <w:sz w:val="24"/>
          <w:szCs w:val="24"/>
        </w:rPr>
        <w:t xml:space="preserve">  </w:t>
      </w:r>
    </w:p>
    <w:p w14:paraId="66B14F7F" w14:textId="77777777" w:rsidR="00FE20AE" w:rsidRDefault="009C7CBC" w:rsidP="00A837DF">
      <w:pPr>
        <w:jc w:val="both"/>
        <w:rPr>
          <w:rFonts w:ascii="Arial" w:hAnsi="Arial" w:cs="Arial"/>
          <w:sz w:val="22"/>
          <w:szCs w:val="22"/>
        </w:rPr>
      </w:pPr>
      <w:r w:rsidRPr="004A023A">
        <w:rPr>
          <w:rFonts w:ascii="Arial" w:hAnsi="Arial" w:cs="Arial"/>
          <w:sz w:val="22"/>
          <w:szCs w:val="22"/>
          <w:u w:val="single"/>
        </w:rPr>
        <w:t>Loi</w:t>
      </w:r>
      <w:r>
        <w:rPr>
          <w:rFonts w:ascii="Arial" w:hAnsi="Arial" w:cs="Arial"/>
          <w:sz w:val="22"/>
          <w:szCs w:val="22"/>
        </w:rPr>
        <w:t xml:space="preserve"> n°2021-1485 du 15 Novembre 2021 visant à </w:t>
      </w:r>
      <w:r w:rsidRPr="004A023A">
        <w:rPr>
          <w:rFonts w:ascii="Arial" w:hAnsi="Arial" w:cs="Arial"/>
          <w:b/>
          <w:bCs/>
          <w:color w:val="4472C4" w:themeColor="accent1"/>
          <w:sz w:val="22"/>
          <w:szCs w:val="22"/>
        </w:rPr>
        <w:t>réduire l’empreint</w:t>
      </w:r>
      <w:r w:rsidR="004A023A" w:rsidRPr="004A023A">
        <w:rPr>
          <w:rFonts w:ascii="Arial" w:hAnsi="Arial" w:cs="Arial"/>
          <w:b/>
          <w:bCs/>
          <w:color w:val="4472C4" w:themeColor="accent1"/>
          <w:sz w:val="22"/>
          <w:szCs w:val="22"/>
        </w:rPr>
        <w:t>e</w:t>
      </w:r>
      <w:r w:rsidRPr="004A023A">
        <w:rPr>
          <w:rFonts w:ascii="Arial" w:hAnsi="Arial" w:cs="Arial"/>
          <w:b/>
          <w:bCs/>
          <w:color w:val="4472C4" w:themeColor="accent1"/>
          <w:sz w:val="22"/>
          <w:szCs w:val="22"/>
        </w:rPr>
        <w:t xml:space="preserve"> environnementale du numérique en France.</w:t>
      </w:r>
    </w:p>
    <w:p w14:paraId="3B43B99E" w14:textId="77777777" w:rsidR="004A023A" w:rsidRDefault="009C7CBC" w:rsidP="00A837DF">
      <w:pPr>
        <w:jc w:val="both"/>
        <w:rPr>
          <w:rFonts w:ascii="Arial" w:hAnsi="Arial" w:cs="Arial"/>
          <w:sz w:val="22"/>
          <w:szCs w:val="22"/>
        </w:rPr>
      </w:pPr>
      <w:r>
        <w:rPr>
          <w:rFonts w:ascii="Arial" w:hAnsi="Arial" w:cs="Arial"/>
          <w:sz w:val="22"/>
          <w:szCs w:val="22"/>
        </w:rPr>
        <w:t xml:space="preserve">Cette loi comporte 5 Chapitres : </w:t>
      </w:r>
    </w:p>
    <w:p w14:paraId="3034AD41" w14:textId="77777777" w:rsidR="004A023A" w:rsidRDefault="009C7CBC" w:rsidP="00A837DF">
      <w:pPr>
        <w:jc w:val="both"/>
        <w:rPr>
          <w:rFonts w:ascii="Arial" w:hAnsi="Arial" w:cs="Arial"/>
          <w:sz w:val="22"/>
          <w:szCs w:val="22"/>
        </w:rPr>
      </w:pPr>
      <w:r>
        <w:rPr>
          <w:rFonts w:ascii="Arial" w:hAnsi="Arial" w:cs="Arial"/>
          <w:sz w:val="22"/>
          <w:szCs w:val="22"/>
        </w:rPr>
        <w:t>-</w:t>
      </w:r>
      <w:r w:rsidR="001405B9">
        <w:rPr>
          <w:rFonts w:ascii="Arial" w:hAnsi="Arial" w:cs="Arial"/>
          <w:sz w:val="22"/>
          <w:szCs w:val="22"/>
        </w:rPr>
        <w:t xml:space="preserve"> </w:t>
      </w:r>
      <w:r w:rsidRPr="004A023A">
        <w:rPr>
          <w:rFonts w:ascii="Arial" w:hAnsi="Arial" w:cs="Arial"/>
          <w:b/>
          <w:bCs/>
          <w:color w:val="833C0B" w:themeColor="accent2" w:themeShade="80"/>
          <w:sz w:val="22"/>
          <w:szCs w:val="22"/>
        </w:rPr>
        <w:t>Faire prendre conscience aux utilisateurs de l’impact environnemental du numérique</w:t>
      </w:r>
      <w:r>
        <w:rPr>
          <w:rFonts w:ascii="Arial" w:hAnsi="Arial" w:cs="Arial"/>
          <w:b/>
          <w:bCs/>
          <w:color w:val="833C0B" w:themeColor="accent2" w:themeShade="80"/>
          <w:sz w:val="22"/>
          <w:szCs w:val="22"/>
        </w:rPr>
        <w:t>.</w:t>
      </w:r>
      <w:r w:rsidRPr="004A023A">
        <w:rPr>
          <w:rFonts w:ascii="Arial" w:hAnsi="Arial" w:cs="Arial"/>
          <w:b/>
          <w:bCs/>
          <w:color w:val="833C0B" w:themeColor="accent2" w:themeShade="80"/>
          <w:sz w:val="22"/>
          <w:szCs w:val="22"/>
        </w:rPr>
        <w:t xml:space="preserve"> </w:t>
      </w:r>
    </w:p>
    <w:p w14:paraId="6FE75BB2" w14:textId="77777777" w:rsidR="004A023A" w:rsidRDefault="009C7CBC" w:rsidP="00A837DF">
      <w:pPr>
        <w:jc w:val="both"/>
        <w:rPr>
          <w:rFonts w:ascii="Arial" w:hAnsi="Arial" w:cs="Arial"/>
          <w:sz w:val="22"/>
          <w:szCs w:val="22"/>
        </w:rPr>
      </w:pPr>
      <w:r>
        <w:rPr>
          <w:rFonts w:ascii="Arial" w:hAnsi="Arial" w:cs="Arial"/>
          <w:sz w:val="22"/>
          <w:szCs w:val="22"/>
        </w:rPr>
        <w:t>– limiter le renouvellement des terminaux.</w:t>
      </w:r>
    </w:p>
    <w:p w14:paraId="19B5A7A3" w14:textId="77777777" w:rsidR="004A023A" w:rsidRDefault="009C7CBC" w:rsidP="00A837DF">
      <w:pPr>
        <w:jc w:val="both"/>
        <w:rPr>
          <w:rFonts w:ascii="Arial" w:hAnsi="Arial" w:cs="Arial"/>
          <w:sz w:val="22"/>
          <w:szCs w:val="22"/>
        </w:rPr>
      </w:pPr>
      <w:r>
        <w:rPr>
          <w:rFonts w:ascii="Arial" w:hAnsi="Arial" w:cs="Arial"/>
          <w:sz w:val="22"/>
          <w:szCs w:val="22"/>
        </w:rPr>
        <w:t xml:space="preserve"> – faire émerger et développer des usages du numérique écologiquement vertueux. </w:t>
      </w:r>
    </w:p>
    <w:p w14:paraId="68ECE850" w14:textId="77777777" w:rsidR="004A023A" w:rsidRDefault="009C7CBC" w:rsidP="00A837DF">
      <w:pPr>
        <w:jc w:val="both"/>
        <w:rPr>
          <w:rFonts w:ascii="Arial" w:hAnsi="Arial" w:cs="Arial"/>
          <w:sz w:val="22"/>
          <w:szCs w:val="22"/>
        </w:rPr>
      </w:pPr>
      <w:r>
        <w:rPr>
          <w:rFonts w:ascii="Arial" w:hAnsi="Arial" w:cs="Arial"/>
          <w:sz w:val="22"/>
          <w:szCs w:val="22"/>
        </w:rPr>
        <w:t xml:space="preserve">– promouvoir des centres de données et des réseaux moins énergivores. </w:t>
      </w:r>
    </w:p>
    <w:p w14:paraId="63992591" w14:textId="77777777" w:rsidR="004A023A" w:rsidRDefault="009C7CBC" w:rsidP="00A837DF">
      <w:pPr>
        <w:jc w:val="both"/>
        <w:rPr>
          <w:rFonts w:ascii="Arial" w:hAnsi="Arial" w:cs="Arial"/>
          <w:sz w:val="22"/>
          <w:szCs w:val="22"/>
        </w:rPr>
      </w:pPr>
      <w:r>
        <w:rPr>
          <w:rFonts w:ascii="Arial" w:hAnsi="Arial" w:cs="Arial"/>
          <w:sz w:val="22"/>
          <w:szCs w:val="22"/>
        </w:rPr>
        <w:t>- promouvoir une stratégie numérique responsable dans les territoires.</w:t>
      </w:r>
    </w:p>
    <w:p w14:paraId="05432A15" w14:textId="77777777" w:rsidR="004A023A" w:rsidRDefault="004A023A" w:rsidP="00A837DF">
      <w:pPr>
        <w:jc w:val="both"/>
        <w:rPr>
          <w:rFonts w:ascii="Arial" w:hAnsi="Arial" w:cs="Arial"/>
          <w:sz w:val="22"/>
          <w:szCs w:val="22"/>
        </w:rPr>
      </w:pPr>
    </w:p>
    <w:p w14:paraId="7CB22B83" w14:textId="77777777" w:rsidR="00FE20AE" w:rsidRDefault="009C7CBC" w:rsidP="00A837DF">
      <w:pPr>
        <w:jc w:val="both"/>
        <w:rPr>
          <w:rFonts w:ascii="Arial" w:hAnsi="Arial" w:cs="Arial"/>
          <w:sz w:val="22"/>
          <w:szCs w:val="22"/>
        </w:rPr>
      </w:pPr>
      <w:r w:rsidRPr="004A023A">
        <w:rPr>
          <w:rFonts w:ascii="Arial" w:hAnsi="Arial" w:cs="Arial"/>
          <w:sz w:val="22"/>
          <w:szCs w:val="22"/>
          <w:u w:val="single"/>
        </w:rPr>
        <w:t>Ordonnance</w:t>
      </w:r>
      <w:r w:rsidRPr="001405B9">
        <w:rPr>
          <w:rFonts w:ascii="Arial" w:hAnsi="Arial" w:cs="Arial"/>
          <w:sz w:val="22"/>
          <w:szCs w:val="22"/>
        </w:rPr>
        <w:t xml:space="preserve"> </w:t>
      </w:r>
      <w:r>
        <w:rPr>
          <w:rFonts w:ascii="Arial" w:hAnsi="Arial" w:cs="Arial"/>
          <w:sz w:val="22"/>
          <w:szCs w:val="22"/>
        </w:rPr>
        <w:t xml:space="preserve">n°2021-1490 du 17 </w:t>
      </w:r>
      <w:r w:rsidR="00A225FD">
        <w:rPr>
          <w:rFonts w:ascii="Arial" w:hAnsi="Arial" w:cs="Arial"/>
          <w:sz w:val="22"/>
          <w:szCs w:val="22"/>
        </w:rPr>
        <w:t>novembre 2021</w:t>
      </w:r>
      <w:r>
        <w:rPr>
          <w:rFonts w:ascii="Arial" w:hAnsi="Arial" w:cs="Arial"/>
          <w:sz w:val="22"/>
          <w:szCs w:val="22"/>
        </w:rPr>
        <w:t xml:space="preserve"> relative à la </w:t>
      </w:r>
      <w:r w:rsidRPr="004A023A">
        <w:rPr>
          <w:rFonts w:ascii="Arial" w:hAnsi="Arial" w:cs="Arial"/>
          <w:b/>
          <w:bCs/>
          <w:color w:val="4472C4" w:themeColor="accent1"/>
          <w:sz w:val="22"/>
          <w:szCs w:val="22"/>
        </w:rPr>
        <w:t>promotion de véhicules de transport routier propres et économes en énergie.</w:t>
      </w:r>
      <w:r>
        <w:rPr>
          <w:rFonts w:ascii="Arial" w:hAnsi="Arial" w:cs="Arial"/>
          <w:sz w:val="22"/>
          <w:szCs w:val="22"/>
        </w:rPr>
        <w:t xml:space="preserve"> </w:t>
      </w:r>
    </w:p>
    <w:p w14:paraId="5A3C3028" w14:textId="77777777" w:rsidR="00DC3413" w:rsidRDefault="009C7CBC" w:rsidP="00A837DF">
      <w:pPr>
        <w:jc w:val="both"/>
        <w:rPr>
          <w:rFonts w:ascii="Arial" w:hAnsi="Arial" w:cs="Arial"/>
          <w:sz w:val="22"/>
          <w:szCs w:val="22"/>
        </w:rPr>
      </w:pPr>
      <w:r w:rsidRPr="004A023A">
        <w:rPr>
          <w:rFonts w:ascii="Arial" w:hAnsi="Arial" w:cs="Arial"/>
          <w:b/>
          <w:bCs/>
          <w:color w:val="833C0B" w:themeColor="accent2" w:themeShade="80"/>
          <w:sz w:val="22"/>
          <w:szCs w:val="22"/>
        </w:rPr>
        <w:t>Fixation d’objectifs applicables au renouvellement des véhicules légers, poids lourds et transports collectifs dans les achats publics pour les périodes 2</w:t>
      </w:r>
      <w:r w:rsidRPr="004A023A">
        <w:rPr>
          <w:rFonts w:ascii="Arial" w:hAnsi="Arial" w:cs="Arial"/>
          <w:b/>
          <w:bCs/>
          <w:color w:val="833C0B" w:themeColor="accent2" w:themeShade="80"/>
          <w:sz w:val="22"/>
          <w:szCs w:val="22"/>
        </w:rPr>
        <w:t>021/2025 et 2026/2030</w:t>
      </w:r>
      <w:r>
        <w:rPr>
          <w:rFonts w:ascii="Arial" w:hAnsi="Arial" w:cs="Arial"/>
          <w:sz w:val="22"/>
          <w:szCs w:val="22"/>
        </w:rPr>
        <w:t xml:space="preserve">. </w:t>
      </w:r>
    </w:p>
    <w:p w14:paraId="52105A34" w14:textId="77777777" w:rsidR="004A023A" w:rsidRDefault="009C7CBC" w:rsidP="00A837DF">
      <w:pPr>
        <w:jc w:val="both"/>
        <w:rPr>
          <w:rFonts w:ascii="Arial" w:hAnsi="Arial" w:cs="Arial"/>
          <w:sz w:val="22"/>
          <w:szCs w:val="22"/>
        </w:rPr>
      </w:pPr>
      <w:r>
        <w:rPr>
          <w:rFonts w:ascii="Arial" w:hAnsi="Arial" w:cs="Arial"/>
          <w:sz w:val="22"/>
          <w:szCs w:val="22"/>
        </w:rPr>
        <w:t xml:space="preserve">Transposition des obligations en matière de renouvellement de flottes publiques de véhicules avec application au 1.7.2022. </w:t>
      </w:r>
    </w:p>
    <w:p w14:paraId="58615767" w14:textId="77777777" w:rsidR="004A023A" w:rsidRDefault="004A023A" w:rsidP="00A837DF">
      <w:pPr>
        <w:jc w:val="both"/>
        <w:rPr>
          <w:rFonts w:ascii="Arial" w:hAnsi="Arial" w:cs="Arial"/>
          <w:sz w:val="22"/>
          <w:szCs w:val="22"/>
        </w:rPr>
      </w:pPr>
    </w:p>
    <w:p w14:paraId="2962F471" w14:textId="77777777" w:rsidR="004A023A" w:rsidRDefault="009C7CBC" w:rsidP="00A837DF">
      <w:pPr>
        <w:jc w:val="both"/>
        <w:rPr>
          <w:rFonts w:ascii="Arial" w:hAnsi="Arial" w:cs="Arial"/>
          <w:sz w:val="22"/>
          <w:szCs w:val="22"/>
        </w:rPr>
      </w:pPr>
      <w:r w:rsidRPr="004A023A">
        <w:rPr>
          <w:rFonts w:ascii="Arial" w:hAnsi="Arial" w:cs="Arial"/>
          <w:sz w:val="22"/>
          <w:szCs w:val="22"/>
          <w:u w:val="single"/>
        </w:rPr>
        <w:t>Arrêté</w:t>
      </w:r>
      <w:r>
        <w:rPr>
          <w:rFonts w:ascii="Arial" w:hAnsi="Arial" w:cs="Arial"/>
          <w:sz w:val="22"/>
          <w:szCs w:val="22"/>
        </w:rPr>
        <w:t xml:space="preserve"> du 21 Octobre 2021 (JO 18.11.) relatif au </w:t>
      </w:r>
      <w:r w:rsidRPr="004A023A">
        <w:rPr>
          <w:rFonts w:ascii="Arial" w:hAnsi="Arial" w:cs="Arial"/>
          <w:b/>
          <w:bCs/>
          <w:color w:val="4472C4" w:themeColor="accent1"/>
          <w:sz w:val="22"/>
          <w:szCs w:val="22"/>
        </w:rPr>
        <w:t>diagnostic de performance énergétique pour les bâtiments existants proposés à la v</w:t>
      </w:r>
      <w:r w:rsidRPr="004A023A">
        <w:rPr>
          <w:rFonts w:ascii="Arial" w:hAnsi="Arial" w:cs="Arial"/>
          <w:b/>
          <w:bCs/>
          <w:color w:val="4472C4" w:themeColor="accent1"/>
          <w:sz w:val="22"/>
          <w:szCs w:val="22"/>
        </w:rPr>
        <w:t xml:space="preserve">ente en France </w:t>
      </w:r>
      <w:r>
        <w:rPr>
          <w:rFonts w:ascii="Arial" w:hAnsi="Arial" w:cs="Arial"/>
          <w:sz w:val="22"/>
          <w:szCs w:val="22"/>
        </w:rPr>
        <w:t xml:space="preserve">métropolitaine. </w:t>
      </w:r>
    </w:p>
    <w:p w14:paraId="54486DB7" w14:textId="77777777" w:rsidR="004A023A" w:rsidRDefault="009C7CBC" w:rsidP="00A837DF">
      <w:pPr>
        <w:jc w:val="both"/>
        <w:rPr>
          <w:rFonts w:ascii="Arial" w:hAnsi="Arial" w:cs="Arial"/>
          <w:b/>
          <w:bCs/>
          <w:color w:val="833C0B" w:themeColor="accent2" w:themeShade="80"/>
          <w:sz w:val="22"/>
          <w:szCs w:val="22"/>
        </w:rPr>
      </w:pPr>
      <w:r w:rsidRPr="009922A5">
        <w:rPr>
          <w:rFonts w:ascii="Arial" w:hAnsi="Arial" w:cs="Arial"/>
          <w:b/>
          <w:bCs/>
          <w:color w:val="833C0B" w:themeColor="accent2" w:themeShade="80"/>
          <w:sz w:val="22"/>
          <w:szCs w:val="22"/>
        </w:rPr>
        <w:t xml:space="preserve">Valeurs à retenir pour les émissions de dioxyde de carbone consécutives aux consommations d’énergie et la part des énergies renouvelables et de récupération dans la production de chaleur des réseaux de chaleur ou de froid. </w:t>
      </w:r>
    </w:p>
    <w:p w14:paraId="79A5D713" w14:textId="77777777" w:rsidR="009922A5" w:rsidRDefault="009922A5" w:rsidP="00A837DF">
      <w:pPr>
        <w:jc w:val="both"/>
        <w:rPr>
          <w:rFonts w:ascii="Arial" w:hAnsi="Arial" w:cs="Arial"/>
          <w:b/>
          <w:bCs/>
          <w:color w:val="833C0B" w:themeColor="accent2" w:themeShade="80"/>
          <w:sz w:val="22"/>
          <w:szCs w:val="22"/>
        </w:rPr>
      </w:pPr>
    </w:p>
    <w:p w14:paraId="6A38ECAF" w14:textId="77777777" w:rsidR="009922A5" w:rsidRPr="009922A5" w:rsidRDefault="009C7CBC" w:rsidP="00A837D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Arial" w:hAnsi="Arial" w:cs="Arial"/>
          <w:sz w:val="22"/>
          <w:szCs w:val="22"/>
        </w:rPr>
      </w:pPr>
      <w:r w:rsidRPr="009922A5">
        <w:rPr>
          <w:rFonts w:ascii="Arial" w:hAnsi="Arial" w:cs="Arial"/>
          <w:sz w:val="22"/>
          <w:szCs w:val="22"/>
          <w:u w:val="single"/>
        </w:rPr>
        <w:t>Avis</w:t>
      </w:r>
      <w:r w:rsidRPr="009922A5">
        <w:rPr>
          <w:rFonts w:ascii="Arial" w:hAnsi="Arial" w:cs="Arial"/>
          <w:sz w:val="22"/>
          <w:szCs w:val="22"/>
        </w:rPr>
        <w:t xml:space="preserve"> relatif à </w:t>
      </w:r>
      <w:r w:rsidRPr="009922A5">
        <w:rPr>
          <w:rFonts w:ascii="Arial" w:hAnsi="Arial" w:cs="Arial"/>
          <w:b/>
          <w:bCs/>
          <w:color w:val="4472C4" w:themeColor="accent1"/>
          <w:sz w:val="22"/>
          <w:szCs w:val="22"/>
        </w:rPr>
        <w:t>l’indice des prix à la consommation</w:t>
      </w:r>
      <w:r w:rsidRPr="009922A5">
        <w:rPr>
          <w:rFonts w:ascii="Arial" w:hAnsi="Arial" w:cs="Arial"/>
          <w:sz w:val="22"/>
          <w:szCs w:val="22"/>
        </w:rPr>
        <w:t xml:space="preserve"> (</w:t>
      </w:r>
      <w:r>
        <w:rPr>
          <w:rFonts w:ascii="Arial" w:hAnsi="Arial" w:cs="Arial"/>
          <w:sz w:val="22"/>
          <w:szCs w:val="22"/>
        </w:rPr>
        <w:t>JO</w:t>
      </w:r>
      <w:r w:rsidRPr="009922A5">
        <w:rPr>
          <w:rFonts w:ascii="Arial" w:hAnsi="Arial" w:cs="Arial"/>
          <w:sz w:val="22"/>
          <w:szCs w:val="22"/>
        </w:rPr>
        <w:t xml:space="preserve"> 19.11.) </w:t>
      </w:r>
      <w:r>
        <w:rPr>
          <w:rFonts w:ascii="Arial" w:hAnsi="Arial" w:cs="Arial"/>
          <w:sz w:val="22"/>
          <w:szCs w:val="22"/>
        </w:rPr>
        <w:t xml:space="preserve">– </w:t>
      </w:r>
      <w:r w:rsidRPr="009922A5">
        <w:rPr>
          <w:rFonts w:ascii="Arial" w:hAnsi="Arial" w:cs="Arial"/>
          <w:b/>
          <w:bCs/>
          <w:color w:val="833C0B" w:themeColor="accent2" w:themeShade="80"/>
          <w:sz w:val="22"/>
          <w:szCs w:val="22"/>
        </w:rPr>
        <w:t>augmentation sur un mois de + 0,7 % et sur une année (octobre) + 2,6 %.</w:t>
      </w:r>
    </w:p>
    <w:p w14:paraId="24DCEE49" w14:textId="77777777" w:rsidR="004A023A" w:rsidRDefault="004A023A" w:rsidP="00A837DF">
      <w:pPr>
        <w:jc w:val="both"/>
        <w:rPr>
          <w:rFonts w:ascii="Arial" w:hAnsi="Arial" w:cs="Arial"/>
          <w:sz w:val="22"/>
          <w:szCs w:val="22"/>
        </w:rPr>
      </w:pPr>
    </w:p>
    <w:p w14:paraId="4AAE31E6" w14:textId="77777777" w:rsidR="00A837DF" w:rsidRPr="009922A5" w:rsidRDefault="009C7CBC" w:rsidP="00544C47">
      <w:pPr>
        <w:jc w:val="both"/>
        <w:rPr>
          <w:rFonts w:ascii="Arial" w:hAnsi="Arial" w:cs="Arial"/>
          <w:sz w:val="22"/>
          <w:szCs w:val="22"/>
        </w:rPr>
      </w:pPr>
      <w:r w:rsidRPr="00A837DF">
        <w:rPr>
          <w:rFonts w:ascii="Arial" w:hAnsi="Arial" w:cs="Arial"/>
          <w:sz w:val="22"/>
          <w:szCs w:val="22"/>
          <w:u w:val="single"/>
        </w:rPr>
        <w:t>Cour d’Appel de PARIS</w:t>
      </w:r>
      <w:r>
        <w:rPr>
          <w:rFonts w:ascii="Arial" w:hAnsi="Arial" w:cs="Arial"/>
          <w:sz w:val="22"/>
          <w:szCs w:val="22"/>
        </w:rPr>
        <w:t xml:space="preserve"> – Pôle 4 – arrêt du 12 Octobre 2021 – N°18/21914 – </w:t>
      </w:r>
      <w:r w:rsidRPr="00A837DF">
        <w:rPr>
          <w:rFonts w:ascii="Arial" w:hAnsi="Arial" w:cs="Arial"/>
          <w:b/>
          <w:bCs/>
          <w:color w:val="833C0B" w:themeColor="accent2" w:themeShade="80"/>
          <w:sz w:val="22"/>
          <w:szCs w:val="22"/>
        </w:rPr>
        <w:t>La sous-location irrégulière mais occasionn</w:t>
      </w:r>
      <w:r w:rsidRPr="00A837DF">
        <w:rPr>
          <w:rFonts w:ascii="Arial" w:hAnsi="Arial" w:cs="Arial"/>
          <w:b/>
          <w:bCs/>
          <w:color w:val="833C0B" w:themeColor="accent2" w:themeShade="80"/>
          <w:sz w:val="22"/>
          <w:szCs w:val="22"/>
        </w:rPr>
        <w:t>elle d’une chambre d’un logement social n’entraine pas automatiquement la résiliation du bail</w:t>
      </w:r>
      <w:r>
        <w:rPr>
          <w:rFonts w:ascii="Arial" w:hAnsi="Arial" w:cs="Arial"/>
          <w:sz w:val="22"/>
          <w:szCs w:val="22"/>
        </w:rPr>
        <w:t>.</w:t>
      </w:r>
    </w:p>
    <w:p w14:paraId="17BD140E" w14:textId="77777777" w:rsidR="009726D3" w:rsidRPr="00A225FD" w:rsidRDefault="009C7CBC" w:rsidP="00A225FD">
      <w:pPr>
        <w:pBdr>
          <w:top w:val="single" w:sz="4" w:space="1" w:color="auto"/>
          <w:left w:val="single" w:sz="4" w:space="4" w:color="auto"/>
          <w:bottom w:val="single" w:sz="4" w:space="1" w:color="auto"/>
          <w:right w:val="single" w:sz="4" w:space="4" w:color="auto"/>
        </w:pBdr>
        <w:shd w:val="clear" w:color="auto" w:fill="FFFFFF"/>
        <w:ind w:right="496"/>
        <w:rPr>
          <w:rFonts w:ascii="Arial" w:hAnsi="Arial"/>
          <w:b/>
          <w:sz w:val="24"/>
          <w:szCs w:val="24"/>
        </w:rPr>
      </w:pPr>
      <w:r>
        <w:rPr>
          <w:rFonts w:ascii="Arial" w:hAnsi="Arial"/>
          <w:b/>
          <w:sz w:val="22"/>
        </w:rPr>
        <w:t xml:space="preserve">    </w:t>
      </w:r>
      <w:r w:rsidR="00507B65">
        <w:rPr>
          <w:rFonts w:ascii="Arial" w:hAnsi="Arial"/>
          <w:b/>
          <w:sz w:val="22"/>
        </w:rPr>
        <w:t xml:space="preserve">   </w:t>
      </w:r>
      <w:r w:rsidR="00FE20AE">
        <w:rPr>
          <w:rFonts w:ascii="Arial" w:hAnsi="Arial"/>
          <w:b/>
          <w:sz w:val="24"/>
          <w:szCs w:val="24"/>
        </w:rPr>
        <w:t>3</w:t>
      </w:r>
      <w:r w:rsidRPr="00F435E5">
        <w:rPr>
          <w:rFonts w:ascii="Arial" w:hAnsi="Arial"/>
          <w:b/>
          <w:sz w:val="24"/>
          <w:szCs w:val="24"/>
        </w:rPr>
        <w:t xml:space="preserve"> – L’ACTUALITE IMMEDIATE</w:t>
      </w:r>
    </w:p>
    <w:p w14:paraId="4BB72C36" w14:textId="77777777" w:rsidR="00F535B0" w:rsidRDefault="009C7CBC" w:rsidP="00A837DF">
      <w:pPr>
        <w:jc w:val="both"/>
        <w:rPr>
          <w:rFonts w:ascii="Arial" w:hAnsi="Arial" w:cs="Arial"/>
          <w:sz w:val="22"/>
          <w:szCs w:val="22"/>
        </w:rPr>
      </w:pPr>
      <w:r>
        <w:rPr>
          <w:rFonts w:ascii="Arial" w:hAnsi="Arial" w:cs="Arial"/>
          <w:sz w:val="22"/>
          <w:szCs w:val="22"/>
        </w:rPr>
        <w:t xml:space="preserve">Adoption en première lecture le 4 Novembre 2021 par le Sénat d’une </w:t>
      </w:r>
      <w:r w:rsidRPr="00F535B0">
        <w:rPr>
          <w:rFonts w:ascii="Arial" w:hAnsi="Arial" w:cs="Arial"/>
          <w:b/>
          <w:bCs/>
          <w:color w:val="4472C4" w:themeColor="accent1"/>
          <w:sz w:val="22"/>
          <w:szCs w:val="22"/>
        </w:rPr>
        <w:t>proposition de loi visant à mettre l’administration au service des usagers</w:t>
      </w:r>
      <w:r>
        <w:rPr>
          <w:rFonts w:ascii="Arial" w:hAnsi="Arial" w:cs="Arial"/>
          <w:sz w:val="22"/>
          <w:szCs w:val="22"/>
        </w:rPr>
        <w:t xml:space="preserve">. </w:t>
      </w:r>
    </w:p>
    <w:p w14:paraId="4D27E643" w14:textId="77777777" w:rsidR="00F535B0" w:rsidRDefault="009C7CBC" w:rsidP="00A837DF">
      <w:pPr>
        <w:jc w:val="both"/>
        <w:rPr>
          <w:rFonts w:ascii="Arial" w:hAnsi="Arial" w:cs="Arial"/>
          <w:sz w:val="22"/>
          <w:szCs w:val="22"/>
        </w:rPr>
      </w:pPr>
      <w:r>
        <w:rPr>
          <w:rFonts w:ascii="Arial" w:hAnsi="Arial" w:cs="Arial"/>
          <w:sz w:val="22"/>
          <w:szCs w:val="22"/>
        </w:rPr>
        <w:t>Considérant que la loi du 12 Novembre 2013 sur la simplification des relations entre l’Administration et les cit</w:t>
      </w:r>
      <w:r>
        <w:rPr>
          <w:rFonts w:ascii="Arial" w:hAnsi="Arial" w:cs="Arial"/>
          <w:sz w:val="22"/>
          <w:szCs w:val="22"/>
        </w:rPr>
        <w:t xml:space="preserve">oyens avec le </w:t>
      </w:r>
      <w:r w:rsidRPr="00F535B0">
        <w:rPr>
          <w:rFonts w:ascii="Arial" w:hAnsi="Arial" w:cs="Arial"/>
          <w:b/>
          <w:bCs/>
          <w:color w:val="4472C4" w:themeColor="accent1"/>
          <w:sz w:val="22"/>
          <w:szCs w:val="22"/>
        </w:rPr>
        <w:t>principe du silence qui vaut acceptation</w:t>
      </w:r>
      <w:r>
        <w:rPr>
          <w:rFonts w:ascii="Arial" w:hAnsi="Arial" w:cs="Arial"/>
          <w:sz w:val="22"/>
          <w:szCs w:val="22"/>
        </w:rPr>
        <w:t>, comporte de très nombreuses exceptions réglementaires, cette proposition porte sur :</w:t>
      </w:r>
    </w:p>
    <w:p w14:paraId="0EB97F98" w14:textId="77777777" w:rsidR="00F535B0" w:rsidRDefault="009C7CBC" w:rsidP="00A837DF">
      <w:pPr>
        <w:jc w:val="both"/>
        <w:rPr>
          <w:rFonts w:ascii="Arial" w:hAnsi="Arial" w:cs="Arial"/>
          <w:sz w:val="22"/>
          <w:szCs w:val="22"/>
        </w:rPr>
      </w:pPr>
      <w:r>
        <w:rPr>
          <w:rFonts w:ascii="Arial" w:hAnsi="Arial" w:cs="Arial"/>
          <w:sz w:val="22"/>
          <w:szCs w:val="22"/>
        </w:rPr>
        <w:t>-</w:t>
      </w:r>
      <w:r w:rsidRPr="00F535B0">
        <w:rPr>
          <w:rFonts w:ascii="Arial" w:hAnsi="Arial" w:cs="Arial"/>
          <w:b/>
          <w:bCs/>
          <w:color w:val="833C0B" w:themeColor="accent2" w:themeShade="80"/>
          <w:sz w:val="22"/>
          <w:szCs w:val="22"/>
        </w:rPr>
        <w:t>L’encadrement plus strict des conditions conduisant à l’exclusion du système du silence</w:t>
      </w:r>
      <w:r w:rsidRPr="00F535B0">
        <w:rPr>
          <w:rFonts w:ascii="Arial" w:hAnsi="Arial" w:cs="Arial"/>
          <w:color w:val="833C0B" w:themeColor="accent2" w:themeShade="80"/>
          <w:sz w:val="22"/>
          <w:szCs w:val="22"/>
        </w:rPr>
        <w:t xml:space="preserve"> </w:t>
      </w:r>
      <w:r>
        <w:rPr>
          <w:rFonts w:ascii="Arial" w:hAnsi="Arial" w:cs="Arial"/>
          <w:sz w:val="22"/>
          <w:szCs w:val="22"/>
        </w:rPr>
        <w:t>qui vaut acceptation (S</w:t>
      </w:r>
      <w:r w:rsidR="00BB5670">
        <w:rPr>
          <w:rFonts w:ascii="Arial" w:hAnsi="Arial" w:cs="Arial"/>
          <w:sz w:val="22"/>
          <w:szCs w:val="22"/>
        </w:rPr>
        <w:t>.</w:t>
      </w:r>
      <w:r>
        <w:rPr>
          <w:rFonts w:ascii="Arial" w:hAnsi="Arial" w:cs="Arial"/>
          <w:sz w:val="22"/>
          <w:szCs w:val="22"/>
        </w:rPr>
        <w:t>V</w:t>
      </w:r>
      <w:r w:rsidR="00BB5670">
        <w:rPr>
          <w:rFonts w:ascii="Arial" w:hAnsi="Arial" w:cs="Arial"/>
          <w:sz w:val="22"/>
          <w:szCs w:val="22"/>
        </w:rPr>
        <w:t>.</w:t>
      </w:r>
      <w:r>
        <w:rPr>
          <w:rFonts w:ascii="Arial" w:hAnsi="Arial" w:cs="Arial"/>
          <w:sz w:val="22"/>
          <w:szCs w:val="22"/>
        </w:rPr>
        <w:t>A</w:t>
      </w:r>
      <w:r w:rsidR="00BB5670">
        <w:rPr>
          <w:rFonts w:ascii="Arial" w:hAnsi="Arial" w:cs="Arial"/>
          <w:sz w:val="22"/>
          <w:szCs w:val="22"/>
        </w:rPr>
        <w:t>.</w:t>
      </w:r>
      <w:r>
        <w:rPr>
          <w:rFonts w:ascii="Arial" w:hAnsi="Arial" w:cs="Arial"/>
          <w:sz w:val="22"/>
          <w:szCs w:val="22"/>
        </w:rPr>
        <w:t>).</w:t>
      </w:r>
    </w:p>
    <w:p w14:paraId="7D60A93B" w14:textId="77777777" w:rsidR="0013017E" w:rsidRDefault="009C7CBC" w:rsidP="00A837DF">
      <w:pPr>
        <w:jc w:val="both"/>
        <w:rPr>
          <w:rFonts w:ascii="Arial" w:hAnsi="Arial" w:cs="Arial"/>
          <w:sz w:val="22"/>
          <w:szCs w:val="22"/>
        </w:rPr>
      </w:pPr>
      <w:r>
        <w:rPr>
          <w:rFonts w:ascii="Arial" w:hAnsi="Arial" w:cs="Arial"/>
          <w:sz w:val="22"/>
          <w:szCs w:val="22"/>
        </w:rPr>
        <w:t>-</w:t>
      </w:r>
      <w:r w:rsidRPr="00F535B0">
        <w:rPr>
          <w:rFonts w:ascii="Arial" w:hAnsi="Arial" w:cs="Arial"/>
          <w:b/>
          <w:bCs/>
          <w:color w:val="833C0B" w:themeColor="accent2" w:themeShade="80"/>
          <w:sz w:val="22"/>
          <w:szCs w:val="22"/>
        </w:rPr>
        <w:t>La fixation à 6 mois du délai maximum</w:t>
      </w:r>
      <w:r>
        <w:rPr>
          <w:rFonts w:ascii="Arial" w:hAnsi="Arial" w:cs="Arial"/>
          <w:sz w:val="22"/>
          <w:szCs w:val="22"/>
        </w:rPr>
        <w:t xml:space="preserve"> pour répondre par l’administration.</w:t>
      </w:r>
      <w:r w:rsidRPr="00F535B0">
        <w:rPr>
          <w:rFonts w:ascii="Arial" w:hAnsi="Arial" w:cs="Arial"/>
          <w:sz w:val="22"/>
          <w:szCs w:val="22"/>
        </w:rPr>
        <w:t xml:space="preserve"> </w:t>
      </w:r>
    </w:p>
    <w:p w14:paraId="0049336D" w14:textId="77777777" w:rsidR="0013017E" w:rsidRDefault="0013017E" w:rsidP="00A837DF">
      <w:pPr>
        <w:jc w:val="both"/>
        <w:rPr>
          <w:rFonts w:ascii="Arial" w:hAnsi="Arial" w:cs="Arial"/>
          <w:sz w:val="22"/>
          <w:szCs w:val="22"/>
        </w:rPr>
      </w:pPr>
    </w:p>
    <w:p w14:paraId="13467ACC" w14:textId="77777777" w:rsidR="0013017E" w:rsidRDefault="009C7CBC" w:rsidP="00A837DF">
      <w:pPr>
        <w:jc w:val="both"/>
        <w:rPr>
          <w:rFonts w:ascii="Arial" w:hAnsi="Arial" w:cs="Arial"/>
          <w:sz w:val="22"/>
          <w:szCs w:val="22"/>
        </w:rPr>
      </w:pPr>
      <w:r w:rsidRPr="00BB5670">
        <w:rPr>
          <w:rFonts w:ascii="Arial" w:hAnsi="Arial" w:cs="Arial"/>
          <w:sz w:val="22"/>
          <w:szCs w:val="22"/>
          <w:u w:val="single"/>
        </w:rPr>
        <w:t>Le Président de la République</w:t>
      </w:r>
      <w:r>
        <w:rPr>
          <w:rFonts w:ascii="Arial" w:hAnsi="Arial" w:cs="Arial"/>
          <w:sz w:val="22"/>
          <w:szCs w:val="22"/>
        </w:rPr>
        <w:t xml:space="preserve"> lors du Congrès des Maires de France le 18 Novembre, a déclaré s’agissant du logement : </w:t>
      </w:r>
      <w:r w:rsidRPr="00BB5670">
        <w:rPr>
          <w:rFonts w:ascii="Arial" w:hAnsi="Arial" w:cs="Arial"/>
          <w:i/>
          <w:iCs/>
          <w:sz w:val="22"/>
          <w:szCs w:val="22"/>
        </w:rPr>
        <w:t xml:space="preserve">« Si nous avons réussi à enclencher une politique globale de rénovation des logements, nous avons, encore aujourd’hui, </w:t>
      </w:r>
      <w:r w:rsidRPr="00BB5670">
        <w:rPr>
          <w:rFonts w:ascii="Arial" w:hAnsi="Arial" w:cs="Arial"/>
          <w:b/>
          <w:bCs/>
          <w:i/>
          <w:iCs/>
          <w:color w:val="833C0B" w:themeColor="accent2" w:themeShade="80"/>
          <w:sz w:val="22"/>
          <w:szCs w:val="22"/>
        </w:rPr>
        <w:t>un problème de construction de logements neufs q</w:t>
      </w:r>
      <w:r w:rsidRPr="00BB5670">
        <w:rPr>
          <w:rFonts w:ascii="Arial" w:hAnsi="Arial" w:cs="Arial"/>
          <w:b/>
          <w:bCs/>
          <w:i/>
          <w:iCs/>
          <w:color w:val="833C0B" w:themeColor="accent2" w:themeShade="80"/>
          <w:sz w:val="22"/>
          <w:szCs w:val="22"/>
        </w:rPr>
        <w:t xml:space="preserve">ui </w:t>
      </w:r>
      <w:r w:rsidR="00741AD9" w:rsidRPr="00BB5670">
        <w:rPr>
          <w:rFonts w:ascii="Arial" w:hAnsi="Arial" w:cs="Arial"/>
          <w:b/>
          <w:bCs/>
          <w:i/>
          <w:iCs/>
          <w:color w:val="833C0B" w:themeColor="accent2" w:themeShade="80"/>
          <w:sz w:val="22"/>
          <w:szCs w:val="22"/>
        </w:rPr>
        <w:t>demeure</w:t>
      </w:r>
      <w:r w:rsidR="00741AD9" w:rsidRPr="00BB5670">
        <w:rPr>
          <w:rFonts w:ascii="Arial" w:hAnsi="Arial" w:cs="Arial"/>
          <w:i/>
          <w:iCs/>
          <w:sz w:val="22"/>
          <w:szCs w:val="22"/>
        </w:rPr>
        <w:t>…</w:t>
      </w:r>
      <w:r w:rsidRPr="00BB5670">
        <w:rPr>
          <w:rFonts w:ascii="Arial" w:hAnsi="Arial" w:cs="Arial"/>
          <w:i/>
          <w:iCs/>
          <w:sz w:val="22"/>
          <w:szCs w:val="22"/>
        </w:rPr>
        <w:t xml:space="preserve">Il faut aller vers beaucoup plus de </w:t>
      </w:r>
      <w:r w:rsidR="00741AD9" w:rsidRPr="00BB5670">
        <w:rPr>
          <w:rFonts w:ascii="Arial" w:hAnsi="Arial" w:cs="Arial"/>
          <w:i/>
          <w:iCs/>
          <w:sz w:val="22"/>
          <w:szCs w:val="22"/>
        </w:rPr>
        <w:t>décentralisation.</w:t>
      </w:r>
      <w:r w:rsidRPr="00BB5670">
        <w:rPr>
          <w:rFonts w:ascii="Arial" w:hAnsi="Arial" w:cs="Arial"/>
          <w:i/>
          <w:iCs/>
          <w:sz w:val="22"/>
          <w:szCs w:val="22"/>
        </w:rPr>
        <w:t xml:space="preserve"> Si l’orientation doit être </w:t>
      </w:r>
      <w:r w:rsidRPr="00BB5670">
        <w:rPr>
          <w:rFonts w:ascii="Arial" w:hAnsi="Arial" w:cs="Arial"/>
          <w:i/>
          <w:iCs/>
          <w:sz w:val="22"/>
          <w:szCs w:val="22"/>
        </w:rPr>
        <w:lastRenderedPageBreak/>
        <w:t>nationale, la stratégie doit être locale tant les enjeux sont différents selon les territoires</w:t>
      </w:r>
      <w:r>
        <w:rPr>
          <w:rFonts w:ascii="Arial" w:hAnsi="Arial" w:cs="Arial"/>
          <w:sz w:val="22"/>
          <w:szCs w:val="22"/>
        </w:rPr>
        <w:t xml:space="preserve">… ». </w:t>
      </w:r>
    </w:p>
    <w:p w14:paraId="11E19F4F" w14:textId="77777777" w:rsidR="00BB5670" w:rsidRDefault="009C7CBC" w:rsidP="00A837DF">
      <w:pPr>
        <w:jc w:val="both"/>
        <w:rPr>
          <w:rFonts w:ascii="Arial" w:hAnsi="Arial" w:cs="Arial"/>
          <w:sz w:val="22"/>
          <w:szCs w:val="22"/>
        </w:rPr>
      </w:pPr>
      <w:r>
        <w:rPr>
          <w:rFonts w:ascii="Arial" w:hAnsi="Arial" w:cs="Arial"/>
          <w:sz w:val="22"/>
          <w:szCs w:val="22"/>
        </w:rPr>
        <w:t>Pour l’artificialisation des sols et le Zéro Artificialisation N</w:t>
      </w:r>
      <w:r>
        <w:rPr>
          <w:rFonts w:ascii="Arial" w:hAnsi="Arial" w:cs="Arial"/>
          <w:sz w:val="22"/>
          <w:szCs w:val="22"/>
        </w:rPr>
        <w:t>ette (Z.A.N.) « </w:t>
      </w:r>
      <w:r w:rsidRPr="00BB5670">
        <w:rPr>
          <w:rFonts w:ascii="Arial" w:hAnsi="Arial" w:cs="Arial"/>
          <w:b/>
          <w:bCs/>
          <w:i/>
          <w:iCs/>
          <w:color w:val="833C0B" w:themeColor="accent2" w:themeShade="80"/>
          <w:sz w:val="22"/>
          <w:szCs w:val="22"/>
        </w:rPr>
        <w:t>l’objectif n’est pas de stopper toute construction mais de réduire le rythme qui conduisait à détruire un Département tous les 10 ans</w:t>
      </w:r>
      <w:r>
        <w:rPr>
          <w:rFonts w:ascii="Arial" w:hAnsi="Arial" w:cs="Arial"/>
          <w:sz w:val="22"/>
          <w:szCs w:val="22"/>
        </w:rPr>
        <w:t xml:space="preserve">… ». </w:t>
      </w:r>
      <w:r w:rsidR="00D36FAF" w:rsidRPr="00F535B0">
        <w:rPr>
          <w:rFonts w:ascii="Arial" w:hAnsi="Arial" w:cs="Arial"/>
          <w:sz w:val="22"/>
          <w:szCs w:val="22"/>
        </w:rPr>
        <w:tab/>
      </w:r>
    </w:p>
    <w:p w14:paraId="17A94837" w14:textId="77777777" w:rsidR="00BB5670" w:rsidRDefault="00BB5670" w:rsidP="00A837DF">
      <w:pPr>
        <w:jc w:val="both"/>
        <w:rPr>
          <w:rFonts w:ascii="Arial" w:hAnsi="Arial" w:cs="Arial"/>
          <w:sz w:val="22"/>
          <w:szCs w:val="22"/>
        </w:rPr>
      </w:pPr>
    </w:p>
    <w:p w14:paraId="54441996" w14:textId="77777777" w:rsidR="00BB5670" w:rsidRDefault="009C7CBC" w:rsidP="00A837DF">
      <w:pPr>
        <w:jc w:val="both"/>
        <w:rPr>
          <w:rFonts w:ascii="Arial" w:hAnsi="Arial" w:cs="Arial"/>
          <w:sz w:val="22"/>
          <w:szCs w:val="22"/>
        </w:rPr>
      </w:pPr>
      <w:r>
        <w:rPr>
          <w:rFonts w:ascii="Arial" w:hAnsi="Arial" w:cs="Arial"/>
          <w:sz w:val="22"/>
          <w:szCs w:val="22"/>
        </w:rPr>
        <w:t xml:space="preserve">Par un communiqué du 17 Novembre la </w:t>
      </w:r>
      <w:r w:rsidRPr="00BB5670">
        <w:rPr>
          <w:rFonts w:ascii="Arial" w:hAnsi="Arial" w:cs="Arial"/>
          <w:sz w:val="22"/>
          <w:szCs w:val="22"/>
          <w:u w:val="single"/>
        </w:rPr>
        <w:t>Ministre de la Transition Ecologique</w:t>
      </w:r>
      <w:r>
        <w:rPr>
          <w:rFonts w:ascii="Arial" w:hAnsi="Arial" w:cs="Arial"/>
          <w:sz w:val="22"/>
          <w:szCs w:val="22"/>
        </w:rPr>
        <w:t xml:space="preserve"> </w:t>
      </w:r>
      <w:r w:rsidRPr="00BB5670">
        <w:rPr>
          <w:rFonts w:ascii="Arial" w:hAnsi="Arial" w:cs="Arial"/>
          <w:b/>
          <w:bCs/>
          <w:color w:val="833C0B" w:themeColor="accent2" w:themeShade="80"/>
          <w:sz w:val="22"/>
          <w:szCs w:val="22"/>
        </w:rPr>
        <w:t xml:space="preserve">reporte à 2023 </w:t>
      </w:r>
      <w:r w:rsidRPr="00BB5670">
        <w:rPr>
          <w:rFonts w:ascii="Arial" w:hAnsi="Arial" w:cs="Arial"/>
          <w:b/>
          <w:bCs/>
          <w:color w:val="4472C4" w:themeColor="accent1"/>
          <w:sz w:val="22"/>
          <w:szCs w:val="22"/>
        </w:rPr>
        <w:t>la mise en œuvre de la nouvelle filière à responsabilité élargie des producteurs (R</w:t>
      </w:r>
      <w:r>
        <w:rPr>
          <w:rFonts w:ascii="Arial" w:hAnsi="Arial" w:cs="Arial"/>
          <w:b/>
          <w:bCs/>
          <w:color w:val="4472C4" w:themeColor="accent1"/>
          <w:sz w:val="22"/>
          <w:szCs w:val="22"/>
        </w:rPr>
        <w:t>.</w:t>
      </w:r>
      <w:r w:rsidRPr="00BB5670">
        <w:rPr>
          <w:rFonts w:ascii="Arial" w:hAnsi="Arial" w:cs="Arial"/>
          <w:b/>
          <w:bCs/>
          <w:color w:val="4472C4" w:themeColor="accent1"/>
          <w:sz w:val="22"/>
          <w:szCs w:val="22"/>
        </w:rPr>
        <w:t>E</w:t>
      </w:r>
      <w:r>
        <w:rPr>
          <w:rFonts w:ascii="Arial" w:hAnsi="Arial" w:cs="Arial"/>
          <w:b/>
          <w:bCs/>
          <w:color w:val="4472C4" w:themeColor="accent1"/>
          <w:sz w:val="22"/>
          <w:szCs w:val="22"/>
        </w:rPr>
        <w:t>.</w:t>
      </w:r>
      <w:r w:rsidRPr="00BB5670">
        <w:rPr>
          <w:rFonts w:ascii="Arial" w:hAnsi="Arial" w:cs="Arial"/>
          <w:b/>
          <w:bCs/>
          <w:color w:val="4472C4" w:themeColor="accent1"/>
          <w:sz w:val="22"/>
          <w:szCs w:val="22"/>
        </w:rPr>
        <w:t>P</w:t>
      </w:r>
      <w:r>
        <w:rPr>
          <w:rFonts w:ascii="Arial" w:hAnsi="Arial" w:cs="Arial"/>
          <w:b/>
          <w:bCs/>
          <w:color w:val="4472C4" w:themeColor="accent1"/>
          <w:sz w:val="22"/>
          <w:szCs w:val="22"/>
        </w:rPr>
        <w:t>.</w:t>
      </w:r>
      <w:r w:rsidRPr="00BB5670">
        <w:rPr>
          <w:rFonts w:ascii="Arial" w:hAnsi="Arial" w:cs="Arial"/>
          <w:b/>
          <w:bCs/>
          <w:color w:val="4472C4" w:themeColor="accent1"/>
          <w:sz w:val="22"/>
          <w:szCs w:val="22"/>
        </w:rPr>
        <w:t>)</w:t>
      </w:r>
      <w:r w:rsidRPr="00BB5670">
        <w:rPr>
          <w:rFonts w:ascii="Arial" w:hAnsi="Arial" w:cs="Arial"/>
          <w:color w:val="4472C4" w:themeColor="accent1"/>
          <w:sz w:val="22"/>
          <w:szCs w:val="22"/>
        </w:rPr>
        <w:t xml:space="preserve"> </w:t>
      </w:r>
      <w:r>
        <w:rPr>
          <w:rFonts w:ascii="Arial" w:hAnsi="Arial" w:cs="Arial"/>
          <w:sz w:val="22"/>
          <w:szCs w:val="22"/>
        </w:rPr>
        <w:t xml:space="preserve">pour les produits et matériaux de construction du secteur du bâtiment. </w:t>
      </w:r>
    </w:p>
    <w:p w14:paraId="539676F3" w14:textId="77777777" w:rsidR="006D2853" w:rsidRDefault="009C7CBC" w:rsidP="00A837DF">
      <w:pPr>
        <w:jc w:val="both"/>
        <w:rPr>
          <w:rFonts w:ascii="Arial" w:hAnsi="Arial" w:cs="Arial"/>
          <w:sz w:val="22"/>
          <w:szCs w:val="22"/>
        </w:rPr>
      </w:pPr>
      <w:r>
        <w:rPr>
          <w:rFonts w:ascii="Arial" w:hAnsi="Arial" w:cs="Arial"/>
          <w:sz w:val="22"/>
          <w:szCs w:val="22"/>
        </w:rPr>
        <w:t xml:space="preserve">L’année 2022 sera consacrée à l’établissement des conventions – et donc des financements - avec les Collectivités et les acteurs privés de la gestion des déchets de construction. </w:t>
      </w:r>
    </w:p>
    <w:p w14:paraId="4E5E2410" w14:textId="77777777" w:rsidR="006D2853" w:rsidRDefault="006D2853" w:rsidP="00A837DF">
      <w:pPr>
        <w:jc w:val="both"/>
        <w:rPr>
          <w:rFonts w:ascii="Arial" w:hAnsi="Arial" w:cs="Arial"/>
          <w:sz w:val="22"/>
          <w:szCs w:val="22"/>
        </w:rPr>
      </w:pPr>
    </w:p>
    <w:p w14:paraId="0C9A6736" w14:textId="77777777" w:rsidR="00A225FD" w:rsidRDefault="009C7CBC" w:rsidP="00A837DF">
      <w:pPr>
        <w:jc w:val="both"/>
        <w:rPr>
          <w:rFonts w:ascii="Arial" w:hAnsi="Arial" w:cs="Arial"/>
          <w:sz w:val="22"/>
          <w:szCs w:val="22"/>
        </w:rPr>
      </w:pPr>
      <w:r w:rsidRPr="00A225FD">
        <w:rPr>
          <w:rFonts w:ascii="Arial" w:hAnsi="Arial" w:cs="Arial"/>
          <w:sz w:val="22"/>
          <w:szCs w:val="22"/>
          <w:u w:val="single"/>
        </w:rPr>
        <w:t>La Cour des Comptes</w:t>
      </w:r>
      <w:r>
        <w:rPr>
          <w:rFonts w:ascii="Arial" w:hAnsi="Arial" w:cs="Arial"/>
          <w:sz w:val="22"/>
          <w:szCs w:val="22"/>
        </w:rPr>
        <w:t xml:space="preserve"> publie le 18 Novembre une note intitulée « </w:t>
      </w:r>
      <w:r w:rsidRPr="00A225FD">
        <w:rPr>
          <w:rFonts w:ascii="Arial" w:hAnsi="Arial" w:cs="Arial"/>
          <w:b/>
          <w:bCs/>
          <w:color w:val="4472C4" w:themeColor="accent1"/>
          <w:sz w:val="22"/>
          <w:szCs w:val="22"/>
        </w:rPr>
        <w:t>Restaurer la</w:t>
      </w:r>
      <w:r w:rsidRPr="00A225FD">
        <w:rPr>
          <w:rFonts w:ascii="Arial" w:hAnsi="Arial" w:cs="Arial"/>
          <w:b/>
          <w:bCs/>
          <w:color w:val="4472C4" w:themeColor="accent1"/>
          <w:sz w:val="22"/>
          <w:szCs w:val="22"/>
        </w:rPr>
        <w:t xml:space="preserve"> cohérence de la politique du logement en l’adaptant aux nouveaux défis </w:t>
      </w:r>
      <w:r>
        <w:rPr>
          <w:rFonts w:ascii="Arial" w:hAnsi="Arial" w:cs="Arial"/>
          <w:sz w:val="22"/>
          <w:szCs w:val="22"/>
        </w:rPr>
        <w:t>».</w:t>
      </w:r>
    </w:p>
    <w:p w14:paraId="1A763D97" w14:textId="77777777" w:rsidR="00A225FD" w:rsidRDefault="009C7CBC" w:rsidP="00A837DF">
      <w:pPr>
        <w:jc w:val="both"/>
        <w:rPr>
          <w:rFonts w:ascii="Arial" w:hAnsi="Arial" w:cs="Arial"/>
          <w:sz w:val="22"/>
          <w:szCs w:val="22"/>
        </w:rPr>
      </w:pPr>
      <w:r>
        <w:rPr>
          <w:rFonts w:ascii="Arial" w:hAnsi="Arial" w:cs="Arial"/>
          <w:sz w:val="22"/>
          <w:szCs w:val="22"/>
        </w:rPr>
        <w:t>-rappel de son positionnement en faveur d’un accès au logement social réservé aux publics les plus modestes. Le modèle du logement social doit évoluer dans ce sens.</w:t>
      </w:r>
    </w:p>
    <w:p w14:paraId="45257B75" w14:textId="77777777" w:rsidR="00A225FD" w:rsidRDefault="009C7CBC" w:rsidP="00A837DF">
      <w:pPr>
        <w:jc w:val="both"/>
        <w:rPr>
          <w:rFonts w:ascii="Arial" w:hAnsi="Arial" w:cs="Arial"/>
          <w:sz w:val="22"/>
          <w:szCs w:val="22"/>
        </w:rPr>
      </w:pPr>
      <w:r>
        <w:rPr>
          <w:rFonts w:ascii="Arial" w:hAnsi="Arial" w:cs="Arial"/>
          <w:sz w:val="22"/>
          <w:szCs w:val="22"/>
        </w:rPr>
        <w:t>-signale qu’un p</w:t>
      </w:r>
      <w:r>
        <w:rPr>
          <w:rFonts w:ascii="Arial" w:hAnsi="Arial" w:cs="Arial"/>
          <w:sz w:val="22"/>
          <w:szCs w:val="22"/>
        </w:rPr>
        <w:t>oint de + sur certains revenus conduirait à avoir en rotation 50.000 attributions supplémentaires par an.</w:t>
      </w:r>
    </w:p>
    <w:p w14:paraId="49FE1AC9" w14:textId="77777777" w:rsidR="00A225FD" w:rsidRDefault="009C7CBC" w:rsidP="00A837DF">
      <w:pPr>
        <w:jc w:val="both"/>
        <w:rPr>
          <w:rFonts w:ascii="Arial" w:hAnsi="Arial" w:cs="Arial"/>
          <w:sz w:val="22"/>
          <w:szCs w:val="22"/>
        </w:rPr>
      </w:pPr>
      <w:r>
        <w:rPr>
          <w:rFonts w:ascii="Arial" w:hAnsi="Arial" w:cs="Arial"/>
          <w:sz w:val="22"/>
          <w:szCs w:val="22"/>
        </w:rPr>
        <w:t>-concentrer les efforts sur la rénovation énergétique et l’entretien du patrimoine.</w:t>
      </w:r>
    </w:p>
    <w:p w14:paraId="34565E59" w14:textId="77777777" w:rsidR="007940A3" w:rsidRDefault="009C7CBC" w:rsidP="00A837DF">
      <w:pPr>
        <w:jc w:val="both"/>
        <w:rPr>
          <w:rFonts w:ascii="Arial" w:hAnsi="Arial" w:cs="Arial"/>
          <w:sz w:val="22"/>
          <w:szCs w:val="22"/>
        </w:rPr>
      </w:pPr>
      <w:r>
        <w:rPr>
          <w:rFonts w:ascii="Arial" w:hAnsi="Arial" w:cs="Arial"/>
          <w:sz w:val="22"/>
          <w:szCs w:val="22"/>
        </w:rPr>
        <w:t>-</w:t>
      </w:r>
      <w:r w:rsidRPr="00A225FD">
        <w:rPr>
          <w:rFonts w:ascii="Arial" w:hAnsi="Arial" w:cs="Arial"/>
          <w:b/>
          <w:bCs/>
          <w:color w:val="833C0B" w:themeColor="accent2" w:themeShade="80"/>
          <w:sz w:val="22"/>
          <w:szCs w:val="22"/>
        </w:rPr>
        <w:t>incitation à réduire la part des financements dans le logement so</w:t>
      </w:r>
      <w:r w:rsidRPr="00A225FD">
        <w:rPr>
          <w:rFonts w:ascii="Arial" w:hAnsi="Arial" w:cs="Arial"/>
          <w:b/>
          <w:bCs/>
          <w:color w:val="833C0B" w:themeColor="accent2" w:themeShade="80"/>
          <w:sz w:val="22"/>
          <w:szCs w:val="22"/>
        </w:rPr>
        <w:t>cial vu l’état des finances publiques</w:t>
      </w:r>
      <w:r>
        <w:rPr>
          <w:rFonts w:ascii="Arial" w:hAnsi="Arial" w:cs="Arial"/>
          <w:sz w:val="22"/>
          <w:szCs w:val="22"/>
        </w:rPr>
        <w:t xml:space="preserve">. </w:t>
      </w:r>
    </w:p>
    <w:p w14:paraId="706E4130" w14:textId="77777777" w:rsidR="007D09B1" w:rsidRPr="00A225FD" w:rsidRDefault="009C7CBC" w:rsidP="00A225FD">
      <w:pPr>
        <w:pBdr>
          <w:top w:val="single" w:sz="4" w:space="0" w:color="auto"/>
          <w:left w:val="single" w:sz="4" w:space="4" w:color="auto"/>
          <w:bottom w:val="single" w:sz="4" w:space="1" w:color="auto"/>
          <w:right w:val="single" w:sz="4" w:space="4" w:color="auto"/>
        </w:pBdr>
        <w:shd w:val="clear" w:color="auto" w:fill="FFFFFF"/>
        <w:rPr>
          <w:rFonts w:ascii="Arial" w:hAnsi="Arial"/>
          <w:sz w:val="24"/>
          <w:szCs w:val="24"/>
        </w:rPr>
      </w:pPr>
      <w:r>
        <w:rPr>
          <w:rFonts w:ascii="Arial" w:hAnsi="Arial"/>
          <w:b/>
          <w:sz w:val="24"/>
          <w:szCs w:val="24"/>
        </w:rPr>
        <w:t xml:space="preserve">    </w:t>
      </w:r>
      <w:r w:rsidR="00FE20AE">
        <w:rPr>
          <w:rFonts w:ascii="Arial" w:hAnsi="Arial"/>
          <w:b/>
          <w:sz w:val="24"/>
          <w:szCs w:val="24"/>
        </w:rPr>
        <w:t>4</w:t>
      </w:r>
      <w:r>
        <w:rPr>
          <w:rFonts w:ascii="Arial" w:hAnsi="Arial"/>
          <w:b/>
          <w:sz w:val="24"/>
          <w:szCs w:val="24"/>
        </w:rPr>
        <w:t xml:space="preserve"> – LES PROJETS QUI BOUGENT</w:t>
      </w:r>
    </w:p>
    <w:p w14:paraId="50C7CBDE" w14:textId="77777777" w:rsidR="004973D1" w:rsidRPr="00DD5DB0" w:rsidRDefault="009C7CBC" w:rsidP="004973D1">
      <w:pPr>
        <w:jc w:val="both"/>
        <w:rPr>
          <w:rFonts w:ascii="Arial" w:hAnsi="Arial" w:cs="Arial"/>
          <w:sz w:val="22"/>
          <w:szCs w:val="22"/>
        </w:rPr>
      </w:pPr>
      <w:r w:rsidRPr="00DD5DB0">
        <w:rPr>
          <w:rFonts w:ascii="Arial" w:hAnsi="Arial" w:cs="Arial"/>
          <w:sz w:val="22"/>
          <w:szCs w:val="22"/>
        </w:rPr>
        <w:t xml:space="preserve">Selon </w:t>
      </w:r>
      <w:r w:rsidRPr="00195FE6">
        <w:rPr>
          <w:rFonts w:ascii="Arial" w:hAnsi="Arial" w:cs="Arial"/>
          <w:b/>
          <w:bCs/>
          <w:color w:val="4472C4" w:themeColor="accent1"/>
          <w:sz w:val="22"/>
          <w:szCs w:val="22"/>
        </w:rPr>
        <w:t>l’Observatoire inter</w:t>
      </w:r>
      <w:r w:rsidR="00195FE6" w:rsidRPr="00195FE6">
        <w:rPr>
          <w:rFonts w:ascii="Arial" w:hAnsi="Arial" w:cs="Arial"/>
          <w:b/>
          <w:bCs/>
          <w:color w:val="4472C4" w:themeColor="accent1"/>
          <w:sz w:val="22"/>
          <w:szCs w:val="22"/>
        </w:rPr>
        <w:t xml:space="preserve"> </w:t>
      </w:r>
      <w:r w:rsidRPr="00195FE6">
        <w:rPr>
          <w:rFonts w:ascii="Arial" w:hAnsi="Arial" w:cs="Arial"/>
          <w:b/>
          <w:bCs/>
          <w:color w:val="4472C4" w:themeColor="accent1"/>
          <w:sz w:val="22"/>
          <w:szCs w:val="22"/>
        </w:rPr>
        <w:t>associatif des expulsions des lieux de vie informels</w:t>
      </w:r>
      <w:r w:rsidRPr="00195FE6">
        <w:rPr>
          <w:rFonts w:ascii="Arial" w:hAnsi="Arial" w:cs="Arial"/>
          <w:color w:val="4472C4" w:themeColor="accent1"/>
          <w:sz w:val="22"/>
          <w:szCs w:val="22"/>
        </w:rPr>
        <w:t xml:space="preserve"> </w:t>
      </w:r>
      <w:r>
        <w:rPr>
          <w:rFonts w:ascii="Arial" w:hAnsi="Arial" w:cs="Arial"/>
          <w:sz w:val="22"/>
          <w:szCs w:val="22"/>
        </w:rPr>
        <w:t xml:space="preserve">(bidonvilles – squats- caravanes et tentes), </w:t>
      </w:r>
      <w:r w:rsidRPr="00195FE6">
        <w:rPr>
          <w:rFonts w:ascii="Arial" w:hAnsi="Arial" w:cs="Arial"/>
          <w:b/>
          <w:bCs/>
          <w:color w:val="833C0B" w:themeColor="accent2" w:themeShade="80"/>
          <w:sz w:val="22"/>
          <w:szCs w:val="22"/>
        </w:rPr>
        <w:t>1330 expulsions en un an soit une augmentation de + 23 %</w:t>
      </w:r>
      <w:r>
        <w:rPr>
          <w:rFonts w:ascii="Arial" w:hAnsi="Arial" w:cs="Arial"/>
          <w:sz w:val="22"/>
          <w:szCs w:val="22"/>
        </w:rPr>
        <w:t>.</w:t>
      </w:r>
      <w:r w:rsidRPr="00DD5DB0">
        <w:rPr>
          <w:rFonts w:ascii="Arial" w:hAnsi="Arial" w:cs="Arial"/>
          <w:sz w:val="22"/>
          <w:szCs w:val="22"/>
        </w:rPr>
        <w:t xml:space="preserve"> </w:t>
      </w:r>
      <w:r>
        <w:rPr>
          <w:rFonts w:ascii="Arial" w:hAnsi="Arial" w:cs="Arial"/>
          <w:sz w:val="22"/>
          <w:szCs w:val="22"/>
        </w:rPr>
        <w:t xml:space="preserve">En parallèle la </w:t>
      </w:r>
      <w:r w:rsidR="00195FE6">
        <w:rPr>
          <w:rFonts w:ascii="Arial" w:hAnsi="Arial" w:cs="Arial"/>
          <w:sz w:val="22"/>
          <w:szCs w:val="22"/>
        </w:rPr>
        <w:t>Délégation Interministérielle à l’accès au logement des personnes sans abri ou mal logées (</w:t>
      </w:r>
      <w:r>
        <w:rPr>
          <w:rFonts w:ascii="Arial" w:hAnsi="Arial" w:cs="Arial"/>
          <w:sz w:val="22"/>
          <w:szCs w:val="22"/>
        </w:rPr>
        <w:t>D</w:t>
      </w:r>
      <w:r w:rsidR="00195FE6">
        <w:rPr>
          <w:rFonts w:ascii="Arial" w:hAnsi="Arial" w:cs="Arial"/>
          <w:sz w:val="22"/>
          <w:szCs w:val="22"/>
        </w:rPr>
        <w:t>.</w:t>
      </w:r>
      <w:r>
        <w:rPr>
          <w:rFonts w:ascii="Arial" w:hAnsi="Arial" w:cs="Arial"/>
          <w:sz w:val="22"/>
          <w:szCs w:val="22"/>
        </w:rPr>
        <w:t>I</w:t>
      </w:r>
      <w:r w:rsidR="00195FE6">
        <w:rPr>
          <w:rFonts w:ascii="Arial" w:hAnsi="Arial" w:cs="Arial"/>
          <w:sz w:val="22"/>
          <w:szCs w:val="22"/>
        </w:rPr>
        <w:t>.</w:t>
      </w:r>
      <w:r>
        <w:rPr>
          <w:rFonts w:ascii="Arial" w:hAnsi="Arial" w:cs="Arial"/>
          <w:sz w:val="22"/>
          <w:szCs w:val="22"/>
        </w:rPr>
        <w:t>H</w:t>
      </w:r>
      <w:r w:rsidR="00195FE6">
        <w:rPr>
          <w:rFonts w:ascii="Arial" w:hAnsi="Arial" w:cs="Arial"/>
          <w:sz w:val="22"/>
          <w:szCs w:val="22"/>
        </w:rPr>
        <w:t>.</w:t>
      </w:r>
      <w:r>
        <w:rPr>
          <w:rFonts w:ascii="Arial" w:hAnsi="Arial" w:cs="Arial"/>
          <w:sz w:val="22"/>
          <w:szCs w:val="22"/>
        </w:rPr>
        <w:t>A</w:t>
      </w:r>
      <w:r w:rsidR="00195FE6">
        <w:rPr>
          <w:rFonts w:ascii="Arial" w:hAnsi="Arial" w:cs="Arial"/>
          <w:sz w:val="22"/>
          <w:szCs w:val="22"/>
        </w:rPr>
        <w:t>.</w:t>
      </w:r>
      <w:r>
        <w:rPr>
          <w:rFonts w:ascii="Arial" w:hAnsi="Arial" w:cs="Arial"/>
          <w:sz w:val="22"/>
          <w:szCs w:val="22"/>
        </w:rPr>
        <w:t>L</w:t>
      </w:r>
      <w:r w:rsidR="00195FE6">
        <w:rPr>
          <w:rFonts w:ascii="Arial" w:hAnsi="Arial" w:cs="Arial"/>
          <w:sz w:val="22"/>
          <w:szCs w:val="22"/>
        </w:rPr>
        <w:t>.)</w:t>
      </w:r>
      <w:r>
        <w:rPr>
          <w:rFonts w:ascii="Arial" w:hAnsi="Arial" w:cs="Arial"/>
          <w:sz w:val="22"/>
          <w:szCs w:val="22"/>
        </w:rPr>
        <w:t xml:space="preserve"> </w:t>
      </w:r>
      <w:r w:rsidR="00195FE6">
        <w:rPr>
          <w:rFonts w:ascii="Arial" w:hAnsi="Arial" w:cs="Arial"/>
          <w:sz w:val="22"/>
          <w:szCs w:val="22"/>
        </w:rPr>
        <w:t>dans un bilan d’étape le 18 Octobre met en avant des résultats de l’approche « </w:t>
      </w:r>
      <w:r w:rsidR="00195FE6" w:rsidRPr="00195FE6">
        <w:rPr>
          <w:rFonts w:ascii="Arial" w:hAnsi="Arial" w:cs="Arial"/>
          <w:i/>
          <w:iCs/>
          <w:sz w:val="22"/>
          <w:szCs w:val="22"/>
        </w:rPr>
        <w:t>globale humaine et pragmatique</w:t>
      </w:r>
      <w:r w:rsidR="00195FE6">
        <w:rPr>
          <w:rFonts w:ascii="Arial" w:hAnsi="Arial" w:cs="Arial"/>
          <w:sz w:val="22"/>
          <w:szCs w:val="22"/>
        </w:rPr>
        <w:t xml:space="preserve"> » qui dénombre </w:t>
      </w:r>
      <w:r w:rsidR="00195FE6" w:rsidRPr="00195FE6">
        <w:rPr>
          <w:rFonts w:ascii="Arial" w:hAnsi="Arial" w:cs="Arial"/>
          <w:b/>
          <w:bCs/>
          <w:color w:val="833C0B" w:themeColor="accent2" w:themeShade="80"/>
          <w:sz w:val="22"/>
          <w:szCs w:val="22"/>
        </w:rPr>
        <w:t>22.189 personnes toutes nationalités confondues bénéficiant de financements</w:t>
      </w:r>
      <w:r w:rsidR="00195FE6">
        <w:rPr>
          <w:rFonts w:ascii="Arial" w:hAnsi="Arial" w:cs="Arial"/>
          <w:sz w:val="22"/>
          <w:szCs w:val="22"/>
        </w:rPr>
        <w:t xml:space="preserve">. </w:t>
      </w:r>
    </w:p>
    <w:p w14:paraId="1BE4E030" w14:textId="77777777" w:rsidR="00195FE6" w:rsidRDefault="009C7CBC" w:rsidP="00544C47">
      <w:pPr>
        <w:jc w:val="both"/>
        <w:rPr>
          <w:rFonts w:ascii="Arial" w:hAnsi="Arial" w:cs="Arial"/>
          <w:sz w:val="22"/>
          <w:szCs w:val="22"/>
        </w:rPr>
      </w:pPr>
      <w:r w:rsidRPr="00195FE6">
        <w:rPr>
          <w:rFonts w:ascii="Arial" w:hAnsi="Arial" w:cs="Arial"/>
          <w:sz w:val="22"/>
          <w:szCs w:val="22"/>
          <w:u w:val="single"/>
        </w:rPr>
        <w:t>La Ministre déléguée à la Ville</w:t>
      </w:r>
      <w:r>
        <w:rPr>
          <w:rFonts w:ascii="Arial" w:hAnsi="Arial" w:cs="Arial"/>
          <w:sz w:val="22"/>
          <w:szCs w:val="22"/>
        </w:rPr>
        <w:t xml:space="preserve"> a annoncé le 17 Novembre un nouveau </w:t>
      </w:r>
      <w:r w:rsidRPr="00195FE6">
        <w:rPr>
          <w:rFonts w:ascii="Arial" w:hAnsi="Arial" w:cs="Arial"/>
          <w:b/>
          <w:bCs/>
          <w:color w:val="833C0B" w:themeColor="accent2" w:themeShade="80"/>
          <w:sz w:val="22"/>
          <w:szCs w:val="22"/>
        </w:rPr>
        <w:t>report pour l’échéance des CONTRATS DE VILLE (repoussée à fin 2023</w:t>
      </w:r>
      <w:r w:rsidR="00F535B0" w:rsidRPr="00195FE6">
        <w:rPr>
          <w:rFonts w:ascii="Arial" w:hAnsi="Arial" w:cs="Arial"/>
          <w:b/>
          <w:bCs/>
          <w:color w:val="833C0B" w:themeColor="accent2" w:themeShade="80"/>
          <w:sz w:val="22"/>
          <w:szCs w:val="22"/>
        </w:rPr>
        <w:t>)</w:t>
      </w:r>
      <w:r w:rsidR="00F535B0">
        <w:rPr>
          <w:rFonts w:ascii="Arial" w:hAnsi="Arial" w:cs="Arial"/>
          <w:sz w:val="22"/>
          <w:szCs w:val="22"/>
        </w:rPr>
        <w:t>. Elle</w:t>
      </w:r>
      <w:r>
        <w:rPr>
          <w:rFonts w:ascii="Arial" w:hAnsi="Arial" w:cs="Arial"/>
          <w:sz w:val="22"/>
          <w:szCs w:val="22"/>
        </w:rPr>
        <w:t xml:space="preserve"> estime nécessaire ce délai pour redéfinir d</w:t>
      </w:r>
      <w:r>
        <w:rPr>
          <w:rFonts w:ascii="Arial" w:hAnsi="Arial" w:cs="Arial"/>
          <w:sz w:val="22"/>
          <w:szCs w:val="22"/>
        </w:rPr>
        <w:t xml:space="preserve">es priorités et des nouveaux critères de la géographie prioritaire avec les élus </w:t>
      </w:r>
      <w:r w:rsidR="00F535B0">
        <w:rPr>
          <w:rFonts w:ascii="Arial" w:hAnsi="Arial" w:cs="Arial"/>
          <w:sz w:val="22"/>
          <w:szCs w:val="22"/>
        </w:rPr>
        <w:t>locaux, les</w:t>
      </w:r>
      <w:r>
        <w:rPr>
          <w:rFonts w:ascii="Arial" w:hAnsi="Arial" w:cs="Arial"/>
          <w:sz w:val="22"/>
          <w:szCs w:val="22"/>
        </w:rPr>
        <w:t xml:space="preserve"> services déconcentrés, les bailleurs </w:t>
      </w:r>
      <w:r w:rsidR="00F535B0">
        <w:rPr>
          <w:rFonts w:ascii="Arial" w:hAnsi="Arial" w:cs="Arial"/>
          <w:sz w:val="22"/>
          <w:szCs w:val="22"/>
        </w:rPr>
        <w:t>sociaux et</w:t>
      </w:r>
      <w:r>
        <w:rPr>
          <w:rFonts w:ascii="Arial" w:hAnsi="Arial" w:cs="Arial"/>
          <w:sz w:val="22"/>
          <w:szCs w:val="22"/>
        </w:rPr>
        <w:t xml:space="preserve"> les associations.</w:t>
      </w:r>
    </w:p>
    <w:p w14:paraId="3679516D" w14:textId="77777777" w:rsidR="00741AD9" w:rsidRDefault="00741AD9" w:rsidP="00544C47">
      <w:pPr>
        <w:jc w:val="both"/>
        <w:rPr>
          <w:rFonts w:ascii="Arial" w:hAnsi="Arial" w:cs="Arial"/>
          <w:sz w:val="22"/>
          <w:szCs w:val="22"/>
        </w:rPr>
      </w:pPr>
    </w:p>
    <w:p w14:paraId="6735A115" w14:textId="77777777" w:rsidR="00741AD9" w:rsidRPr="00741AD9" w:rsidRDefault="009C7CBC" w:rsidP="00544C47">
      <w:pPr>
        <w:jc w:val="both"/>
        <w:rPr>
          <w:rFonts w:ascii="Arial" w:hAnsi="Arial" w:cs="Arial"/>
          <w:b/>
          <w:bCs/>
          <w:color w:val="4472C4" w:themeColor="accent1"/>
          <w:sz w:val="22"/>
          <w:szCs w:val="22"/>
        </w:rPr>
      </w:pPr>
      <w:r w:rsidRPr="00741AD9">
        <w:rPr>
          <w:rFonts w:ascii="Arial" w:hAnsi="Arial" w:cs="Arial"/>
          <w:sz w:val="22"/>
          <w:szCs w:val="22"/>
          <w:u w:val="single"/>
        </w:rPr>
        <w:t>Le Conseil d’Etat</w:t>
      </w:r>
      <w:r>
        <w:rPr>
          <w:rFonts w:ascii="Arial" w:hAnsi="Arial" w:cs="Arial"/>
          <w:sz w:val="22"/>
          <w:szCs w:val="22"/>
        </w:rPr>
        <w:t xml:space="preserve"> a publié le 16 Novembre une étude intitulée « </w:t>
      </w:r>
      <w:r w:rsidRPr="00741AD9">
        <w:rPr>
          <w:rFonts w:ascii="Arial" w:hAnsi="Arial" w:cs="Arial"/>
          <w:b/>
          <w:bCs/>
          <w:color w:val="4472C4" w:themeColor="accent1"/>
          <w:sz w:val="22"/>
          <w:szCs w:val="22"/>
        </w:rPr>
        <w:t>Les conditions de ressources dan</w:t>
      </w:r>
      <w:r w:rsidRPr="00741AD9">
        <w:rPr>
          <w:rFonts w:ascii="Arial" w:hAnsi="Arial" w:cs="Arial"/>
          <w:b/>
          <w:bCs/>
          <w:color w:val="4472C4" w:themeColor="accent1"/>
          <w:sz w:val="22"/>
          <w:szCs w:val="22"/>
        </w:rPr>
        <w:t>s les politiques sociales : plus de simplicité, plus de cohérence ».</w:t>
      </w:r>
    </w:p>
    <w:p w14:paraId="0F717E58" w14:textId="77777777" w:rsidR="00DC3413" w:rsidRPr="00DD5DB0" w:rsidRDefault="009C7CBC" w:rsidP="00544C47">
      <w:pPr>
        <w:jc w:val="both"/>
        <w:rPr>
          <w:rFonts w:ascii="Arial" w:hAnsi="Arial" w:cs="Arial"/>
          <w:sz w:val="22"/>
          <w:szCs w:val="22"/>
        </w:rPr>
      </w:pPr>
      <w:r>
        <w:rPr>
          <w:rFonts w:ascii="Arial" w:hAnsi="Arial" w:cs="Arial"/>
          <w:sz w:val="22"/>
          <w:szCs w:val="22"/>
        </w:rPr>
        <w:t>Au vu de modalités disparates de prise en compte des revenus (RSA – allocation adulte handicapé – minimum vieillesse</w:t>
      </w:r>
      <w:r w:rsidR="006D2853">
        <w:rPr>
          <w:rFonts w:ascii="Arial" w:hAnsi="Arial" w:cs="Arial"/>
          <w:sz w:val="22"/>
          <w:szCs w:val="22"/>
        </w:rPr>
        <w:t xml:space="preserve"> -</w:t>
      </w:r>
      <w:r>
        <w:rPr>
          <w:rFonts w:ascii="Arial" w:hAnsi="Arial" w:cs="Arial"/>
          <w:sz w:val="22"/>
          <w:szCs w:val="22"/>
        </w:rPr>
        <w:t xml:space="preserve"> prêt à taux zéro - chèque énergie…)</w:t>
      </w:r>
      <w:r w:rsidRPr="00741AD9">
        <w:rPr>
          <w:rFonts w:ascii="Arial" w:hAnsi="Arial" w:cs="Arial"/>
          <w:b/>
          <w:bCs/>
          <w:color w:val="833C0B" w:themeColor="accent2" w:themeShade="80"/>
          <w:sz w:val="22"/>
          <w:szCs w:val="22"/>
        </w:rPr>
        <w:t xml:space="preserve"> le Conseil préconise 2 types de bases ressources</w:t>
      </w:r>
      <w:r>
        <w:rPr>
          <w:rFonts w:ascii="Arial" w:hAnsi="Arial" w:cs="Arial"/>
          <w:sz w:val="22"/>
          <w:szCs w:val="22"/>
        </w:rPr>
        <w:t xml:space="preserve"> : la première s’appuyant sur le système fiscal et la seconde concernerait les prestations relevant des familles (RSA – ASPA…). </w:t>
      </w:r>
    </w:p>
    <w:p w14:paraId="1008B609" w14:textId="77777777" w:rsidR="003D4913" w:rsidRPr="00A225FD" w:rsidRDefault="009C7CBC" w:rsidP="00A225FD">
      <w:pPr>
        <w:pBdr>
          <w:top w:val="single" w:sz="4" w:space="0" w:color="auto"/>
          <w:left w:val="single" w:sz="4" w:space="4" w:color="auto"/>
          <w:bottom w:val="single" w:sz="4" w:space="9" w:color="auto"/>
          <w:right w:val="single" w:sz="4" w:space="4" w:color="auto"/>
        </w:pBdr>
        <w:shd w:val="clear" w:color="auto" w:fill="FFFFFF"/>
        <w:spacing w:before="80" w:after="80"/>
        <w:ind w:right="354"/>
        <w:jc w:val="both"/>
        <w:rPr>
          <w:rFonts w:ascii="Arial" w:hAnsi="Arial"/>
          <w:b/>
          <w:sz w:val="24"/>
          <w:szCs w:val="24"/>
        </w:rPr>
      </w:pPr>
      <w:r>
        <w:rPr>
          <w:rFonts w:ascii="Arial" w:hAnsi="Arial"/>
          <w:sz w:val="22"/>
        </w:rPr>
        <w:t xml:space="preserve">               </w:t>
      </w:r>
      <w:r w:rsidR="00C47726">
        <w:rPr>
          <w:rFonts w:ascii="Arial" w:hAnsi="Arial"/>
          <w:sz w:val="22"/>
        </w:rPr>
        <w:t xml:space="preserve">   </w:t>
      </w:r>
      <w:r>
        <w:rPr>
          <w:rFonts w:ascii="Arial" w:hAnsi="Arial"/>
          <w:sz w:val="22"/>
        </w:rPr>
        <w:t xml:space="preserve">  </w:t>
      </w:r>
      <w:r w:rsidR="00FE20AE">
        <w:rPr>
          <w:rFonts w:ascii="Arial" w:hAnsi="Arial"/>
          <w:b/>
          <w:sz w:val="24"/>
          <w:szCs w:val="24"/>
        </w:rPr>
        <w:t>5</w:t>
      </w:r>
      <w:r w:rsidRPr="00F435E5">
        <w:rPr>
          <w:rFonts w:ascii="Arial" w:hAnsi="Arial"/>
          <w:b/>
          <w:sz w:val="24"/>
          <w:szCs w:val="24"/>
        </w:rPr>
        <w:t xml:space="preserve"> - LU POUR VOUS</w:t>
      </w:r>
    </w:p>
    <w:p w14:paraId="393C365C" w14:textId="77777777" w:rsidR="009100FD" w:rsidRPr="00A225FD" w:rsidRDefault="009C7CBC" w:rsidP="00544C47">
      <w:pPr>
        <w:jc w:val="both"/>
        <w:rPr>
          <w:rFonts w:ascii="Arial" w:hAnsi="Arial" w:cs="Arial"/>
          <w:bCs/>
        </w:rPr>
      </w:pPr>
      <w:r w:rsidRPr="006D2853">
        <w:rPr>
          <w:rFonts w:ascii="Arial" w:hAnsi="Arial" w:cs="Arial"/>
          <w:b/>
          <w:i/>
          <w:iCs/>
          <w:color w:val="833C0B" w:themeColor="accent2" w:themeShade="80"/>
          <w:sz w:val="22"/>
          <w:szCs w:val="22"/>
        </w:rPr>
        <w:t xml:space="preserve">Du logement social temporaire pour les villes </w:t>
      </w:r>
      <w:r w:rsidRPr="00A225FD">
        <w:rPr>
          <w:rFonts w:ascii="Arial" w:hAnsi="Arial" w:cs="Arial"/>
          <w:b/>
          <w:i/>
          <w:iCs/>
          <w:color w:val="833C0B" w:themeColor="accent2" w:themeShade="80"/>
        </w:rPr>
        <w:t>« trop HLM »</w:t>
      </w:r>
      <w:r w:rsidRPr="00A225FD">
        <w:rPr>
          <w:rFonts w:ascii="Arial" w:hAnsi="Arial" w:cs="Arial"/>
          <w:bCs/>
        </w:rPr>
        <w:t xml:space="preserve"> </w:t>
      </w:r>
      <w:r w:rsidR="00741AD9" w:rsidRPr="00A225FD">
        <w:rPr>
          <w:rFonts w:ascii="Arial" w:hAnsi="Arial" w:cs="Arial"/>
          <w:bCs/>
        </w:rPr>
        <w:t>(Les</w:t>
      </w:r>
      <w:r w:rsidRPr="00A225FD">
        <w:rPr>
          <w:rFonts w:ascii="Arial" w:hAnsi="Arial" w:cs="Arial"/>
          <w:bCs/>
        </w:rPr>
        <w:t xml:space="preserve"> Echos 13.11.)</w:t>
      </w:r>
    </w:p>
    <w:p w14:paraId="55FE3F03" w14:textId="77777777" w:rsidR="009100FD" w:rsidRPr="00A225FD" w:rsidRDefault="009100FD" w:rsidP="00544C47">
      <w:pPr>
        <w:jc w:val="both"/>
        <w:rPr>
          <w:rFonts w:ascii="Arial" w:hAnsi="Arial" w:cs="Arial"/>
          <w:bCs/>
        </w:rPr>
      </w:pPr>
    </w:p>
    <w:p w14:paraId="15C43CE5" w14:textId="77777777" w:rsidR="009726D3" w:rsidRPr="00A225FD" w:rsidRDefault="009C7CBC" w:rsidP="00544C47">
      <w:pPr>
        <w:jc w:val="both"/>
        <w:rPr>
          <w:rFonts w:ascii="Arial" w:hAnsi="Arial" w:cs="Arial"/>
          <w:bCs/>
        </w:rPr>
      </w:pPr>
      <w:r w:rsidRPr="00A225FD">
        <w:rPr>
          <w:rFonts w:ascii="Arial" w:hAnsi="Arial" w:cs="Arial"/>
          <w:bCs/>
        </w:rPr>
        <w:t xml:space="preserve">Lancement par la Ministre de la Culture </w:t>
      </w:r>
      <w:r w:rsidRPr="00A225FD">
        <w:rPr>
          <w:rFonts w:ascii="Arial" w:hAnsi="Arial" w:cs="Arial"/>
          <w:b/>
          <w:i/>
          <w:iCs/>
          <w:color w:val="833C0B" w:themeColor="accent2" w:themeShade="80"/>
        </w:rPr>
        <w:t>d’un Observatoire de l’économie de l’architecture</w:t>
      </w:r>
      <w:r w:rsidRPr="00A225FD">
        <w:rPr>
          <w:rFonts w:ascii="Arial" w:hAnsi="Arial" w:cs="Arial"/>
          <w:bCs/>
        </w:rPr>
        <w:t xml:space="preserve">. Celui-ci étudiera notamment l’adaptation des formations à la réalité du marché du travail de l’architecture (Communiqué du Ministère le 16 Novembre). </w:t>
      </w:r>
    </w:p>
    <w:p w14:paraId="2460D8C3" w14:textId="77777777" w:rsidR="00BB5670" w:rsidRPr="00A225FD" w:rsidRDefault="00BB5670" w:rsidP="00544C47">
      <w:pPr>
        <w:jc w:val="both"/>
        <w:rPr>
          <w:rFonts w:ascii="Arial" w:hAnsi="Arial" w:cs="Arial"/>
          <w:b/>
          <w:i/>
          <w:iCs/>
          <w:color w:val="833C0B" w:themeColor="accent2" w:themeShade="80"/>
        </w:rPr>
      </w:pPr>
    </w:p>
    <w:p w14:paraId="326873D4" w14:textId="77777777" w:rsidR="00BB5670" w:rsidRPr="00A225FD" w:rsidRDefault="009C7CBC" w:rsidP="00544C47">
      <w:pPr>
        <w:jc w:val="both"/>
        <w:rPr>
          <w:rFonts w:ascii="Arial" w:hAnsi="Arial" w:cs="Arial"/>
          <w:bCs/>
        </w:rPr>
      </w:pPr>
      <w:r w:rsidRPr="00A225FD">
        <w:rPr>
          <w:rFonts w:ascii="Arial" w:hAnsi="Arial" w:cs="Arial"/>
          <w:b/>
          <w:i/>
          <w:iCs/>
          <w:color w:val="833C0B" w:themeColor="accent2" w:themeShade="80"/>
        </w:rPr>
        <w:t>Les inégalités et le taux de pauvreté seraient stables en 2020</w:t>
      </w:r>
      <w:r w:rsidRPr="00A225FD">
        <w:rPr>
          <w:rFonts w:ascii="Arial" w:hAnsi="Arial" w:cs="Arial"/>
          <w:bCs/>
          <w:color w:val="833C0B" w:themeColor="accent2" w:themeShade="80"/>
        </w:rPr>
        <w:t xml:space="preserve"> </w:t>
      </w:r>
      <w:r w:rsidRPr="00A225FD">
        <w:rPr>
          <w:rFonts w:ascii="Arial" w:hAnsi="Arial" w:cs="Arial"/>
          <w:bCs/>
        </w:rPr>
        <w:t xml:space="preserve">(INSEE. Analyse 70 – 3 Novembre 2021). </w:t>
      </w:r>
      <w:r w:rsidRPr="00A225FD">
        <w:rPr>
          <w:rFonts w:ascii="Arial" w:hAnsi="Arial" w:cs="Arial"/>
          <w:bCs/>
        </w:rPr>
        <w:t xml:space="preserve"> </w:t>
      </w:r>
    </w:p>
    <w:p w14:paraId="6C304E53" w14:textId="77777777" w:rsidR="00BB5670" w:rsidRPr="00A225FD" w:rsidRDefault="00BB5670" w:rsidP="00544C47">
      <w:pPr>
        <w:jc w:val="both"/>
        <w:rPr>
          <w:rFonts w:ascii="Arial" w:hAnsi="Arial" w:cs="Arial"/>
          <w:bCs/>
        </w:rPr>
      </w:pPr>
    </w:p>
    <w:p w14:paraId="1439BCD7" w14:textId="77777777" w:rsidR="00BB5670" w:rsidRPr="00A225FD" w:rsidRDefault="009C7CBC" w:rsidP="00544C47">
      <w:pPr>
        <w:jc w:val="both"/>
        <w:rPr>
          <w:rFonts w:ascii="Arial" w:hAnsi="Arial" w:cs="Arial"/>
          <w:bCs/>
        </w:rPr>
      </w:pPr>
      <w:r w:rsidRPr="00A225FD">
        <w:rPr>
          <w:rFonts w:ascii="Arial" w:hAnsi="Arial" w:cs="Arial"/>
          <w:bCs/>
        </w:rPr>
        <w:t>Au 1</w:t>
      </w:r>
      <w:r w:rsidRPr="00A225FD">
        <w:rPr>
          <w:rFonts w:ascii="Arial" w:hAnsi="Arial" w:cs="Arial"/>
          <w:bCs/>
          <w:vertAlign w:val="superscript"/>
        </w:rPr>
        <w:t>er</w:t>
      </w:r>
      <w:r w:rsidRPr="00A225FD">
        <w:rPr>
          <w:rFonts w:ascii="Arial" w:hAnsi="Arial" w:cs="Arial"/>
          <w:bCs/>
        </w:rPr>
        <w:t xml:space="preserve"> janvier 2021 </w:t>
      </w:r>
      <w:r w:rsidRPr="00A225FD">
        <w:rPr>
          <w:rFonts w:ascii="Arial" w:hAnsi="Arial" w:cs="Arial"/>
          <w:b/>
          <w:i/>
          <w:iCs/>
          <w:color w:val="833C0B" w:themeColor="accent2" w:themeShade="80"/>
        </w:rPr>
        <w:t>la France compte 37,2 millions de logements</w:t>
      </w:r>
      <w:r w:rsidRPr="00A225FD">
        <w:rPr>
          <w:rFonts w:ascii="Arial" w:hAnsi="Arial" w:cs="Arial"/>
          <w:bCs/>
          <w:color w:val="833C0B" w:themeColor="accent2" w:themeShade="80"/>
        </w:rPr>
        <w:t xml:space="preserve"> </w:t>
      </w:r>
      <w:r w:rsidRPr="00A225FD">
        <w:rPr>
          <w:rFonts w:ascii="Arial" w:hAnsi="Arial" w:cs="Arial"/>
          <w:bCs/>
        </w:rPr>
        <w:t>(82 % de résidences principales - 55 % de logements individuels</w:t>
      </w:r>
      <w:r w:rsidR="006D2853" w:rsidRPr="00A225FD">
        <w:rPr>
          <w:rFonts w:ascii="Arial" w:hAnsi="Arial" w:cs="Arial"/>
          <w:bCs/>
        </w:rPr>
        <w:t>)</w:t>
      </w:r>
      <w:r w:rsidRPr="00A225FD">
        <w:rPr>
          <w:rFonts w:ascii="Arial" w:hAnsi="Arial" w:cs="Arial"/>
          <w:bCs/>
        </w:rPr>
        <w:t>. Depuis 15 ans le nombre de résidences principales diminue légèrement au profit des logements vacants (INSEE – Focus 254 – 9</w:t>
      </w:r>
      <w:r w:rsidRPr="00A225FD">
        <w:rPr>
          <w:rFonts w:ascii="Arial" w:hAnsi="Arial" w:cs="Arial"/>
          <w:bCs/>
        </w:rPr>
        <w:t xml:space="preserve"> Novembre 2021).</w:t>
      </w:r>
    </w:p>
    <w:p w14:paraId="060E5329" w14:textId="77777777" w:rsidR="009100FD" w:rsidRPr="00A225FD" w:rsidRDefault="009100FD" w:rsidP="00544C47">
      <w:pPr>
        <w:jc w:val="both"/>
        <w:rPr>
          <w:rFonts w:ascii="Arial" w:hAnsi="Arial" w:cs="Arial"/>
          <w:bCs/>
        </w:rPr>
      </w:pPr>
    </w:p>
    <w:p w14:paraId="6E98F135" w14:textId="77777777" w:rsidR="009100FD" w:rsidRPr="00A225FD" w:rsidRDefault="009C7CBC" w:rsidP="00544C47">
      <w:pPr>
        <w:jc w:val="both"/>
        <w:rPr>
          <w:rFonts w:ascii="Arial" w:hAnsi="Arial" w:cs="Arial"/>
          <w:bCs/>
        </w:rPr>
      </w:pPr>
      <w:r w:rsidRPr="00A225FD">
        <w:rPr>
          <w:rFonts w:ascii="Arial" w:hAnsi="Arial" w:cs="Arial"/>
          <w:b/>
          <w:i/>
          <w:iCs/>
          <w:color w:val="833C0B" w:themeColor="accent2" w:themeShade="80"/>
        </w:rPr>
        <w:t>Héberger c’est loger ? Aux frontières du logement ordinaire</w:t>
      </w:r>
      <w:r w:rsidRPr="00A225FD">
        <w:rPr>
          <w:rFonts w:ascii="Arial" w:hAnsi="Arial" w:cs="Arial"/>
          <w:bCs/>
          <w:color w:val="833C0B" w:themeColor="accent2" w:themeShade="80"/>
        </w:rPr>
        <w:t xml:space="preserve"> </w:t>
      </w:r>
      <w:r w:rsidRPr="00A225FD">
        <w:rPr>
          <w:rFonts w:ascii="Arial" w:hAnsi="Arial" w:cs="Arial"/>
          <w:bCs/>
        </w:rPr>
        <w:t>(Julien Damon sociologue professeur associé à Science Po – Septembre 2021).</w:t>
      </w:r>
    </w:p>
    <w:p w14:paraId="7C6A699F" w14:textId="77777777" w:rsidR="009100FD" w:rsidRPr="00A225FD" w:rsidRDefault="009100FD" w:rsidP="00544C47">
      <w:pPr>
        <w:jc w:val="both"/>
        <w:rPr>
          <w:rFonts w:ascii="Arial" w:hAnsi="Arial" w:cs="Arial"/>
          <w:bCs/>
        </w:rPr>
      </w:pPr>
    </w:p>
    <w:p w14:paraId="19630435" w14:textId="1265C564" w:rsidR="009100FD" w:rsidRPr="00A225FD" w:rsidRDefault="009C7CBC" w:rsidP="00544C47">
      <w:pPr>
        <w:jc w:val="both"/>
        <w:rPr>
          <w:rFonts w:ascii="Arial" w:hAnsi="Arial" w:cs="Arial"/>
          <w:bCs/>
        </w:rPr>
      </w:pPr>
      <w:r w:rsidRPr="00A225FD">
        <w:rPr>
          <w:rFonts w:ascii="Arial" w:hAnsi="Arial" w:cs="Arial"/>
          <w:b/>
          <w:i/>
          <w:iCs/>
          <w:color w:val="833C0B" w:themeColor="accent2" w:themeShade="80"/>
        </w:rPr>
        <w:t xml:space="preserve">L’APL est maintenant moins favorable aux jeunes actifs mais ce n’est pas forcément </w:t>
      </w:r>
      <w:r w:rsidRPr="00F10C40">
        <w:rPr>
          <w:rFonts w:ascii="Arial" w:hAnsi="Arial" w:cs="Arial"/>
          <w:bCs/>
          <w:i/>
          <w:iCs/>
        </w:rPr>
        <w:t xml:space="preserve">par </w:t>
      </w:r>
      <w:r w:rsidR="00F10C40" w:rsidRPr="00F10C40">
        <w:rPr>
          <w:rFonts w:ascii="Arial" w:hAnsi="Arial" w:cs="Arial"/>
          <w:bCs/>
          <w:i/>
          <w:iCs/>
        </w:rPr>
        <w:t>l’APL</w:t>
      </w:r>
      <w:r w:rsidR="00E646E3" w:rsidRPr="00F10C40">
        <w:rPr>
          <w:rFonts w:ascii="Arial" w:hAnsi="Arial" w:cs="Arial"/>
          <w:b/>
          <w:i/>
          <w:iCs/>
        </w:rPr>
        <w:t xml:space="preserve"> </w:t>
      </w:r>
      <w:r w:rsidRPr="00A225FD">
        <w:rPr>
          <w:rFonts w:ascii="Arial" w:hAnsi="Arial" w:cs="Arial"/>
          <w:b/>
          <w:i/>
          <w:iCs/>
          <w:color w:val="833C0B" w:themeColor="accent2" w:themeShade="80"/>
        </w:rPr>
        <w:t>qu’il faut les aider</w:t>
      </w:r>
      <w:r w:rsidRPr="00A225FD">
        <w:rPr>
          <w:rFonts w:ascii="Arial" w:hAnsi="Arial" w:cs="Arial"/>
          <w:bCs/>
        </w:rPr>
        <w:t xml:space="preserve">. La réforme à fait 1,1 milliards € d’économies (Ministre du logement le 9.11. au Sénat lors du débat sur le projet de loi de finances 2022). </w:t>
      </w:r>
    </w:p>
    <w:p w14:paraId="06A51A15" w14:textId="77777777" w:rsidR="007940A3" w:rsidRPr="00544C47" w:rsidRDefault="007940A3" w:rsidP="00171769">
      <w:pPr>
        <w:jc w:val="both"/>
        <w:rPr>
          <w:rFonts w:ascii="Arial" w:hAnsi="Arial" w:cs="Arial"/>
          <w:sz w:val="22"/>
          <w:szCs w:val="22"/>
        </w:rPr>
      </w:pPr>
    </w:p>
    <w:sectPr w:rsidR="007940A3" w:rsidRPr="00544C47">
      <w:type w:val="continuous"/>
      <w:pgSz w:w="11906" w:h="16838"/>
      <w:pgMar w:top="1417" w:right="849" w:bottom="1417" w:left="1134" w:header="720" w:footer="720" w:gutter="0"/>
      <w:cols w:num="2" w:space="720" w:equalWidth="0">
        <w:col w:w="4465" w:space="708"/>
        <w:col w:w="47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AD83" w14:textId="77777777" w:rsidR="009C7CBC" w:rsidRDefault="009C7CBC">
      <w:r>
        <w:separator/>
      </w:r>
    </w:p>
  </w:endnote>
  <w:endnote w:type="continuationSeparator" w:id="0">
    <w:p w14:paraId="1E0CFE20" w14:textId="77777777" w:rsidR="009C7CBC" w:rsidRDefault="009C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5290" w14:textId="77777777" w:rsidR="00366540" w:rsidRDefault="00366540">
    <w:pPr>
      <w:pStyle w:val="Pieddepage"/>
      <w:ind w:left="-567"/>
    </w:pPr>
  </w:p>
  <w:p w14:paraId="63CC2737" w14:textId="77777777" w:rsidR="00366540" w:rsidRDefault="00366540">
    <w:pPr>
      <w:pStyle w:val="Pieddepage"/>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26E1A" w14:textId="77777777" w:rsidR="009C7CBC" w:rsidRDefault="009C7CBC">
      <w:r>
        <w:separator/>
      </w:r>
    </w:p>
  </w:footnote>
  <w:footnote w:type="continuationSeparator" w:id="0">
    <w:p w14:paraId="2BED40C1" w14:textId="77777777" w:rsidR="009C7CBC" w:rsidRDefault="009C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538" w:type="dxa"/>
      <w:tblInd w:w="-1417" w:type="dxa"/>
      <w:tblLook w:val="01E0" w:firstRow="1" w:lastRow="1" w:firstColumn="1" w:lastColumn="1" w:noHBand="0" w:noVBand="0"/>
    </w:tblPr>
    <w:tblGrid>
      <w:gridCol w:w="19316"/>
      <w:gridCol w:w="222"/>
    </w:tblGrid>
    <w:tr w:rsidR="00386EDD" w14:paraId="151AD963" w14:textId="77777777" w:rsidTr="00C439F7">
      <w:trPr>
        <w:trHeight w:val="1276"/>
      </w:trPr>
      <w:tc>
        <w:tcPr>
          <w:tcW w:w="19316" w:type="dxa"/>
          <w:shd w:val="clear" w:color="auto" w:fill="auto"/>
          <w:vAlign w:val="center"/>
        </w:tcPr>
        <w:p w14:paraId="382D905C" w14:textId="77777777" w:rsidR="00366540" w:rsidRPr="003D6E23" w:rsidRDefault="009C7CBC" w:rsidP="00C439F7">
          <w:pPr>
            <w:ind w:left="344" w:right="-77" w:firstLine="3"/>
            <w:rPr>
              <w:sz w:val="22"/>
              <w:szCs w:val="22"/>
            </w:rPr>
          </w:pPr>
          <w:r>
            <w:rPr>
              <w:sz w:val="22"/>
              <w:szCs w:val="22"/>
            </w:rPr>
            <w:t xml:space="preserve">                      </w:t>
          </w:r>
          <w:r>
            <w:rPr>
              <w:noProof/>
              <w:sz w:val="22"/>
              <w:szCs w:val="22"/>
            </w:rPr>
            <w:drawing>
              <wp:inline distT="0" distB="0" distL="0" distR="0" wp14:anchorId="07CEFE8A" wp14:editId="2B07B625">
                <wp:extent cx="5499100" cy="85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53195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99100" cy="850900"/>
                        </a:xfrm>
                        <a:prstGeom prst="rect">
                          <a:avLst/>
                        </a:prstGeom>
                        <a:noFill/>
                        <a:ln>
                          <a:noFill/>
                        </a:ln>
                      </pic:spPr>
                    </pic:pic>
                  </a:graphicData>
                </a:graphic>
              </wp:inline>
            </w:drawing>
          </w:r>
        </w:p>
      </w:tc>
      <w:tc>
        <w:tcPr>
          <w:tcW w:w="222" w:type="dxa"/>
          <w:shd w:val="clear" w:color="auto" w:fill="auto"/>
          <w:vAlign w:val="center"/>
        </w:tcPr>
        <w:p w14:paraId="4707E64C" w14:textId="77777777" w:rsidR="00366540" w:rsidRPr="003D6E23" w:rsidRDefault="00366540" w:rsidP="003D6E23">
          <w:pPr>
            <w:ind w:left="-246" w:right="-440"/>
            <w:jc w:val="center"/>
            <w:rPr>
              <w:rFonts w:ascii="Century Gothic" w:hAnsi="Century Gothic" w:cs="Arial"/>
              <w:b/>
              <w:spacing w:val="52"/>
              <w:sz w:val="28"/>
              <w:szCs w:val="28"/>
            </w:rPr>
          </w:pPr>
        </w:p>
      </w:tc>
    </w:tr>
  </w:tbl>
  <w:p w14:paraId="42127465" w14:textId="77777777" w:rsidR="00366540" w:rsidRPr="00A855E0" w:rsidRDefault="00366540" w:rsidP="00A855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3586"/>
    <w:multiLevelType w:val="hybridMultilevel"/>
    <w:tmpl w:val="0BBA4C38"/>
    <w:lvl w:ilvl="0" w:tplc="D71CF5CE">
      <w:start w:val="3"/>
      <w:numFmt w:val="bullet"/>
      <w:lvlText w:val="-"/>
      <w:lvlJc w:val="left"/>
      <w:pPr>
        <w:ind w:left="720" w:hanging="360"/>
      </w:pPr>
      <w:rPr>
        <w:rFonts w:ascii="Arial" w:eastAsia="Times New Roman" w:hAnsi="Arial" w:cs="Arial" w:hint="default"/>
      </w:rPr>
    </w:lvl>
    <w:lvl w:ilvl="1" w:tplc="7FBCF02A" w:tentative="1">
      <w:start w:val="1"/>
      <w:numFmt w:val="bullet"/>
      <w:lvlText w:val="o"/>
      <w:lvlJc w:val="left"/>
      <w:pPr>
        <w:ind w:left="1440" w:hanging="360"/>
      </w:pPr>
      <w:rPr>
        <w:rFonts w:ascii="Courier New" w:hAnsi="Courier New" w:cs="Courier New" w:hint="default"/>
      </w:rPr>
    </w:lvl>
    <w:lvl w:ilvl="2" w:tplc="26F282C0" w:tentative="1">
      <w:start w:val="1"/>
      <w:numFmt w:val="bullet"/>
      <w:lvlText w:val=""/>
      <w:lvlJc w:val="left"/>
      <w:pPr>
        <w:ind w:left="2160" w:hanging="360"/>
      </w:pPr>
      <w:rPr>
        <w:rFonts w:ascii="Wingdings" w:hAnsi="Wingdings" w:hint="default"/>
      </w:rPr>
    </w:lvl>
    <w:lvl w:ilvl="3" w:tplc="92C0782C" w:tentative="1">
      <w:start w:val="1"/>
      <w:numFmt w:val="bullet"/>
      <w:lvlText w:val=""/>
      <w:lvlJc w:val="left"/>
      <w:pPr>
        <w:ind w:left="2880" w:hanging="360"/>
      </w:pPr>
      <w:rPr>
        <w:rFonts w:ascii="Symbol" w:hAnsi="Symbol" w:hint="default"/>
      </w:rPr>
    </w:lvl>
    <w:lvl w:ilvl="4" w:tplc="A7BC7888" w:tentative="1">
      <w:start w:val="1"/>
      <w:numFmt w:val="bullet"/>
      <w:lvlText w:val="o"/>
      <w:lvlJc w:val="left"/>
      <w:pPr>
        <w:ind w:left="3600" w:hanging="360"/>
      </w:pPr>
      <w:rPr>
        <w:rFonts w:ascii="Courier New" w:hAnsi="Courier New" w:cs="Courier New" w:hint="default"/>
      </w:rPr>
    </w:lvl>
    <w:lvl w:ilvl="5" w:tplc="7F3A4362" w:tentative="1">
      <w:start w:val="1"/>
      <w:numFmt w:val="bullet"/>
      <w:lvlText w:val=""/>
      <w:lvlJc w:val="left"/>
      <w:pPr>
        <w:ind w:left="4320" w:hanging="360"/>
      </w:pPr>
      <w:rPr>
        <w:rFonts w:ascii="Wingdings" w:hAnsi="Wingdings" w:hint="default"/>
      </w:rPr>
    </w:lvl>
    <w:lvl w:ilvl="6" w:tplc="5AFA9602" w:tentative="1">
      <w:start w:val="1"/>
      <w:numFmt w:val="bullet"/>
      <w:lvlText w:val=""/>
      <w:lvlJc w:val="left"/>
      <w:pPr>
        <w:ind w:left="5040" w:hanging="360"/>
      </w:pPr>
      <w:rPr>
        <w:rFonts w:ascii="Symbol" w:hAnsi="Symbol" w:hint="default"/>
      </w:rPr>
    </w:lvl>
    <w:lvl w:ilvl="7" w:tplc="4ED4937C" w:tentative="1">
      <w:start w:val="1"/>
      <w:numFmt w:val="bullet"/>
      <w:lvlText w:val="o"/>
      <w:lvlJc w:val="left"/>
      <w:pPr>
        <w:ind w:left="5760" w:hanging="360"/>
      </w:pPr>
      <w:rPr>
        <w:rFonts w:ascii="Courier New" w:hAnsi="Courier New" w:cs="Courier New" w:hint="default"/>
      </w:rPr>
    </w:lvl>
    <w:lvl w:ilvl="8" w:tplc="9E20E2BE" w:tentative="1">
      <w:start w:val="1"/>
      <w:numFmt w:val="bullet"/>
      <w:lvlText w:val=""/>
      <w:lvlJc w:val="left"/>
      <w:pPr>
        <w:ind w:left="6480" w:hanging="360"/>
      </w:pPr>
      <w:rPr>
        <w:rFonts w:ascii="Wingdings" w:hAnsi="Wingdings" w:hint="default"/>
      </w:rPr>
    </w:lvl>
  </w:abstractNum>
  <w:abstractNum w:abstractNumId="1" w15:restartNumberingAfterBreak="0">
    <w:nsid w:val="17B47F58"/>
    <w:multiLevelType w:val="hybridMultilevel"/>
    <w:tmpl w:val="55F27A76"/>
    <w:lvl w:ilvl="0" w:tplc="6BF2ACB4">
      <w:numFmt w:val="bullet"/>
      <w:lvlText w:val="-"/>
      <w:lvlJc w:val="left"/>
      <w:pPr>
        <w:ind w:left="720" w:hanging="360"/>
      </w:pPr>
      <w:rPr>
        <w:rFonts w:ascii="Arial" w:eastAsia="Times New Roman" w:hAnsi="Arial" w:cs="Arial" w:hint="default"/>
      </w:rPr>
    </w:lvl>
    <w:lvl w:ilvl="1" w:tplc="00F4F31E" w:tentative="1">
      <w:start w:val="1"/>
      <w:numFmt w:val="bullet"/>
      <w:lvlText w:val="o"/>
      <w:lvlJc w:val="left"/>
      <w:pPr>
        <w:ind w:left="1440" w:hanging="360"/>
      </w:pPr>
      <w:rPr>
        <w:rFonts w:ascii="Courier New" w:hAnsi="Courier New" w:cs="Courier New" w:hint="default"/>
      </w:rPr>
    </w:lvl>
    <w:lvl w:ilvl="2" w:tplc="61C8C57E" w:tentative="1">
      <w:start w:val="1"/>
      <w:numFmt w:val="bullet"/>
      <w:lvlText w:val=""/>
      <w:lvlJc w:val="left"/>
      <w:pPr>
        <w:ind w:left="2160" w:hanging="360"/>
      </w:pPr>
      <w:rPr>
        <w:rFonts w:ascii="Wingdings" w:hAnsi="Wingdings" w:hint="default"/>
      </w:rPr>
    </w:lvl>
    <w:lvl w:ilvl="3" w:tplc="1BBE910A" w:tentative="1">
      <w:start w:val="1"/>
      <w:numFmt w:val="bullet"/>
      <w:lvlText w:val=""/>
      <w:lvlJc w:val="left"/>
      <w:pPr>
        <w:ind w:left="2880" w:hanging="360"/>
      </w:pPr>
      <w:rPr>
        <w:rFonts w:ascii="Symbol" w:hAnsi="Symbol" w:hint="default"/>
      </w:rPr>
    </w:lvl>
    <w:lvl w:ilvl="4" w:tplc="D60C1778" w:tentative="1">
      <w:start w:val="1"/>
      <w:numFmt w:val="bullet"/>
      <w:lvlText w:val="o"/>
      <w:lvlJc w:val="left"/>
      <w:pPr>
        <w:ind w:left="3600" w:hanging="360"/>
      </w:pPr>
      <w:rPr>
        <w:rFonts w:ascii="Courier New" w:hAnsi="Courier New" w:cs="Courier New" w:hint="default"/>
      </w:rPr>
    </w:lvl>
    <w:lvl w:ilvl="5" w:tplc="A6C09F8C" w:tentative="1">
      <w:start w:val="1"/>
      <w:numFmt w:val="bullet"/>
      <w:lvlText w:val=""/>
      <w:lvlJc w:val="left"/>
      <w:pPr>
        <w:ind w:left="4320" w:hanging="360"/>
      </w:pPr>
      <w:rPr>
        <w:rFonts w:ascii="Wingdings" w:hAnsi="Wingdings" w:hint="default"/>
      </w:rPr>
    </w:lvl>
    <w:lvl w:ilvl="6" w:tplc="66509EF8" w:tentative="1">
      <w:start w:val="1"/>
      <w:numFmt w:val="bullet"/>
      <w:lvlText w:val=""/>
      <w:lvlJc w:val="left"/>
      <w:pPr>
        <w:ind w:left="5040" w:hanging="360"/>
      </w:pPr>
      <w:rPr>
        <w:rFonts w:ascii="Symbol" w:hAnsi="Symbol" w:hint="default"/>
      </w:rPr>
    </w:lvl>
    <w:lvl w:ilvl="7" w:tplc="081C750A" w:tentative="1">
      <w:start w:val="1"/>
      <w:numFmt w:val="bullet"/>
      <w:lvlText w:val="o"/>
      <w:lvlJc w:val="left"/>
      <w:pPr>
        <w:ind w:left="5760" w:hanging="360"/>
      </w:pPr>
      <w:rPr>
        <w:rFonts w:ascii="Courier New" w:hAnsi="Courier New" w:cs="Courier New" w:hint="default"/>
      </w:rPr>
    </w:lvl>
    <w:lvl w:ilvl="8" w:tplc="884C6ABC" w:tentative="1">
      <w:start w:val="1"/>
      <w:numFmt w:val="bullet"/>
      <w:lvlText w:val=""/>
      <w:lvlJc w:val="left"/>
      <w:pPr>
        <w:ind w:left="6480" w:hanging="360"/>
      </w:pPr>
      <w:rPr>
        <w:rFonts w:ascii="Wingdings" w:hAnsi="Wingdings" w:hint="default"/>
      </w:rPr>
    </w:lvl>
  </w:abstractNum>
  <w:abstractNum w:abstractNumId="2" w15:restartNumberingAfterBreak="0">
    <w:nsid w:val="2BF166A7"/>
    <w:multiLevelType w:val="hybridMultilevel"/>
    <w:tmpl w:val="80C80E50"/>
    <w:lvl w:ilvl="0" w:tplc="BF7A4618">
      <w:numFmt w:val="bullet"/>
      <w:lvlText w:val="-"/>
      <w:lvlJc w:val="left"/>
      <w:pPr>
        <w:ind w:left="720" w:hanging="360"/>
      </w:pPr>
      <w:rPr>
        <w:rFonts w:ascii="Arial" w:eastAsia="Times New Roman" w:hAnsi="Arial" w:cs="Arial" w:hint="default"/>
      </w:rPr>
    </w:lvl>
    <w:lvl w:ilvl="1" w:tplc="717288B8" w:tentative="1">
      <w:start w:val="1"/>
      <w:numFmt w:val="bullet"/>
      <w:lvlText w:val="o"/>
      <w:lvlJc w:val="left"/>
      <w:pPr>
        <w:ind w:left="1440" w:hanging="360"/>
      </w:pPr>
      <w:rPr>
        <w:rFonts w:ascii="Courier New" w:hAnsi="Courier New" w:cs="Courier New" w:hint="default"/>
      </w:rPr>
    </w:lvl>
    <w:lvl w:ilvl="2" w:tplc="687CE752" w:tentative="1">
      <w:start w:val="1"/>
      <w:numFmt w:val="bullet"/>
      <w:lvlText w:val=""/>
      <w:lvlJc w:val="left"/>
      <w:pPr>
        <w:ind w:left="2160" w:hanging="360"/>
      </w:pPr>
      <w:rPr>
        <w:rFonts w:ascii="Wingdings" w:hAnsi="Wingdings" w:hint="default"/>
      </w:rPr>
    </w:lvl>
    <w:lvl w:ilvl="3" w:tplc="FA3C7082" w:tentative="1">
      <w:start w:val="1"/>
      <w:numFmt w:val="bullet"/>
      <w:lvlText w:val=""/>
      <w:lvlJc w:val="left"/>
      <w:pPr>
        <w:ind w:left="2880" w:hanging="360"/>
      </w:pPr>
      <w:rPr>
        <w:rFonts w:ascii="Symbol" w:hAnsi="Symbol" w:hint="default"/>
      </w:rPr>
    </w:lvl>
    <w:lvl w:ilvl="4" w:tplc="936883C6" w:tentative="1">
      <w:start w:val="1"/>
      <w:numFmt w:val="bullet"/>
      <w:lvlText w:val="o"/>
      <w:lvlJc w:val="left"/>
      <w:pPr>
        <w:ind w:left="3600" w:hanging="360"/>
      </w:pPr>
      <w:rPr>
        <w:rFonts w:ascii="Courier New" w:hAnsi="Courier New" w:cs="Courier New" w:hint="default"/>
      </w:rPr>
    </w:lvl>
    <w:lvl w:ilvl="5" w:tplc="D242C5E4" w:tentative="1">
      <w:start w:val="1"/>
      <w:numFmt w:val="bullet"/>
      <w:lvlText w:val=""/>
      <w:lvlJc w:val="left"/>
      <w:pPr>
        <w:ind w:left="4320" w:hanging="360"/>
      </w:pPr>
      <w:rPr>
        <w:rFonts w:ascii="Wingdings" w:hAnsi="Wingdings" w:hint="default"/>
      </w:rPr>
    </w:lvl>
    <w:lvl w:ilvl="6" w:tplc="6A5E0CF0" w:tentative="1">
      <w:start w:val="1"/>
      <w:numFmt w:val="bullet"/>
      <w:lvlText w:val=""/>
      <w:lvlJc w:val="left"/>
      <w:pPr>
        <w:ind w:left="5040" w:hanging="360"/>
      </w:pPr>
      <w:rPr>
        <w:rFonts w:ascii="Symbol" w:hAnsi="Symbol" w:hint="default"/>
      </w:rPr>
    </w:lvl>
    <w:lvl w:ilvl="7" w:tplc="C3808B88" w:tentative="1">
      <w:start w:val="1"/>
      <w:numFmt w:val="bullet"/>
      <w:lvlText w:val="o"/>
      <w:lvlJc w:val="left"/>
      <w:pPr>
        <w:ind w:left="5760" w:hanging="360"/>
      </w:pPr>
      <w:rPr>
        <w:rFonts w:ascii="Courier New" w:hAnsi="Courier New" w:cs="Courier New" w:hint="default"/>
      </w:rPr>
    </w:lvl>
    <w:lvl w:ilvl="8" w:tplc="4A307CB8" w:tentative="1">
      <w:start w:val="1"/>
      <w:numFmt w:val="bullet"/>
      <w:lvlText w:val=""/>
      <w:lvlJc w:val="left"/>
      <w:pPr>
        <w:ind w:left="6480" w:hanging="360"/>
      </w:pPr>
      <w:rPr>
        <w:rFonts w:ascii="Wingdings" w:hAnsi="Wingdings" w:hint="default"/>
      </w:rPr>
    </w:lvl>
  </w:abstractNum>
  <w:abstractNum w:abstractNumId="3" w15:restartNumberingAfterBreak="0">
    <w:nsid w:val="5D1545A7"/>
    <w:multiLevelType w:val="hybridMultilevel"/>
    <w:tmpl w:val="80AE1510"/>
    <w:lvl w:ilvl="0" w:tplc="A3A6BB4A">
      <w:start w:val="5"/>
      <w:numFmt w:val="bullet"/>
      <w:lvlText w:val="-"/>
      <w:lvlJc w:val="left"/>
      <w:pPr>
        <w:ind w:left="720" w:hanging="360"/>
      </w:pPr>
      <w:rPr>
        <w:rFonts w:ascii="Arial" w:eastAsia="Calibri" w:hAnsi="Arial" w:cs="Arial" w:hint="default"/>
      </w:rPr>
    </w:lvl>
    <w:lvl w:ilvl="1" w:tplc="B7B63DD2" w:tentative="1">
      <w:start w:val="1"/>
      <w:numFmt w:val="bullet"/>
      <w:lvlText w:val="o"/>
      <w:lvlJc w:val="left"/>
      <w:pPr>
        <w:ind w:left="1440" w:hanging="360"/>
      </w:pPr>
      <w:rPr>
        <w:rFonts w:ascii="Courier New" w:hAnsi="Courier New" w:cs="Courier New" w:hint="default"/>
      </w:rPr>
    </w:lvl>
    <w:lvl w:ilvl="2" w:tplc="EF4E19BA" w:tentative="1">
      <w:start w:val="1"/>
      <w:numFmt w:val="bullet"/>
      <w:lvlText w:val=""/>
      <w:lvlJc w:val="left"/>
      <w:pPr>
        <w:ind w:left="2160" w:hanging="360"/>
      </w:pPr>
      <w:rPr>
        <w:rFonts w:ascii="Wingdings" w:hAnsi="Wingdings" w:hint="default"/>
      </w:rPr>
    </w:lvl>
    <w:lvl w:ilvl="3" w:tplc="680C1E18" w:tentative="1">
      <w:start w:val="1"/>
      <w:numFmt w:val="bullet"/>
      <w:lvlText w:val=""/>
      <w:lvlJc w:val="left"/>
      <w:pPr>
        <w:ind w:left="2880" w:hanging="360"/>
      </w:pPr>
      <w:rPr>
        <w:rFonts w:ascii="Symbol" w:hAnsi="Symbol" w:hint="default"/>
      </w:rPr>
    </w:lvl>
    <w:lvl w:ilvl="4" w:tplc="DFF20256" w:tentative="1">
      <w:start w:val="1"/>
      <w:numFmt w:val="bullet"/>
      <w:lvlText w:val="o"/>
      <w:lvlJc w:val="left"/>
      <w:pPr>
        <w:ind w:left="3600" w:hanging="360"/>
      </w:pPr>
      <w:rPr>
        <w:rFonts w:ascii="Courier New" w:hAnsi="Courier New" w:cs="Courier New" w:hint="default"/>
      </w:rPr>
    </w:lvl>
    <w:lvl w:ilvl="5" w:tplc="DC8430CA" w:tentative="1">
      <w:start w:val="1"/>
      <w:numFmt w:val="bullet"/>
      <w:lvlText w:val=""/>
      <w:lvlJc w:val="left"/>
      <w:pPr>
        <w:ind w:left="4320" w:hanging="360"/>
      </w:pPr>
      <w:rPr>
        <w:rFonts w:ascii="Wingdings" w:hAnsi="Wingdings" w:hint="default"/>
      </w:rPr>
    </w:lvl>
    <w:lvl w:ilvl="6" w:tplc="FB102C68" w:tentative="1">
      <w:start w:val="1"/>
      <w:numFmt w:val="bullet"/>
      <w:lvlText w:val=""/>
      <w:lvlJc w:val="left"/>
      <w:pPr>
        <w:ind w:left="5040" w:hanging="360"/>
      </w:pPr>
      <w:rPr>
        <w:rFonts w:ascii="Symbol" w:hAnsi="Symbol" w:hint="default"/>
      </w:rPr>
    </w:lvl>
    <w:lvl w:ilvl="7" w:tplc="041CEAB2" w:tentative="1">
      <w:start w:val="1"/>
      <w:numFmt w:val="bullet"/>
      <w:lvlText w:val="o"/>
      <w:lvlJc w:val="left"/>
      <w:pPr>
        <w:ind w:left="5760" w:hanging="360"/>
      </w:pPr>
      <w:rPr>
        <w:rFonts w:ascii="Courier New" w:hAnsi="Courier New" w:cs="Courier New" w:hint="default"/>
      </w:rPr>
    </w:lvl>
    <w:lvl w:ilvl="8" w:tplc="386CF09E" w:tentative="1">
      <w:start w:val="1"/>
      <w:numFmt w:val="bullet"/>
      <w:lvlText w:val=""/>
      <w:lvlJc w:val="left"/>
      <w:pPr>
        <w:ind w:left="6480" w:hanging="360"/>
      </w:pPr>
      <w:rPr>
        <w:rFonts w:ascii="Wingdings" w:hAnsi="Wingdings" w:hint="default"/>
      </w:rPr>
    </w:lvl>
  </w:abstractNum>
  <w:abstractNum w:abstractNumId="4" w15:restartNumberingAfterBreak="0">
    <w:nsid w:val="6CE85FB3"/>
    <w:multiLevelType w:val="hybridMultilevel"/>
    <w:tmpl w:val="ECDEB212"/>
    <w:lvl w:ilvl="0" w:tplc="898071F2">
      <w:start w:val="3"/>
      <w:numFmt w:val="bullet"/>
      <w:lvlText w:val="-"/>
      <w:lvlJc w:val="left"/>
      <w:pPr>
        <w:ind w:left="720" w:hanging="360"/>
      </w:pPr>
      <w:rPr>
        <w:rFonts w:ascii="Arial" w:eastAsia="Times New Roman" w:hAnsi="Arial" w:cs="Arial" w:hint="default"/>
      </w:rPr>
    </w:lvl>
    <w:lvl w:ilvl="1" w:tplc="E6586746" w:tentative="1">
      <w:start w:val="1"/>
      <w:numFmt w:val="bullet"/>
      <w:lvlText w:val="o"/>
      <w:lvlJc w:val="left"/>
      <w:pPr>
        <w:ind w:left="1440" w:hanging="360"/>
      </w:pPr>
      <w:rPr>
        <w:rFonts w:ascii="Courier New" w:hAnsi="Courier New" w:cs="Courier New" w:hint="default"/>
      </w:rPr>
    </w:lvl>
    <w:lvl w:ilvl="2" w:tplc="5C024B22" w:tentative="1">
      <w:start w:val="1"/>
      <w:numFmt w:val="bullet"/>
      <w:lvlText w:val=""/>
      <w:lvlJc w:val="left"/>
      <w:pPr>
        <w:ind w:left="2160" w:hanging="360"/>
      </w:pPr>
      <w:rPr>
        <w:rFonts w:ascii="Wingdings" w:hAnsi="Wingdings" w:hint="default"/>
      </w:rPr>
    </w:lvl>
    <w:lvl w:ilvl="3" w:tplc="C18E087A" w:tentative="1">
      <w:start w:val="1"/>
      <w:numFmt w:val="bullet"/>
      <w:lvlText w:val=""/>
      <w:lvlJc w:val="left"/>
      <w:pPr>
        <w:ind w:left="2880" w:hanging="360"/>
      </w:pPr>
      <w:rPr>
        <w:rFonts w:ascii="Symbol" w:hAnsi="Symbol" w:hint="default"/>
      </w:rPr>
    </w:lvl>
    <w:lvl w:ilvl="4" w:tplc="7816747C" w:tentative="1">
      <w:start w:val="1"/>
      <w:numFmt w:val="bullet"/>
      <w:lvlText w:val="o"/>
      <w:lvlJc w:val="left"/>
      <w:pPr>
        <w:ind w:left="3600" w:hanging="360"/>
      </w:pPr>
      <w:rPr>
        <w:rFonts w:ascii="Courier New" w:hAnsi="Courier New" w:cs="Courier New" w:hint="default"/>
      </w:rPr>
    </w:lvl>
    <w:lvl w:ilvl="5" w:tplc="1D7C9B76" w:tentative="1">
      <w:start w:val="1"/>
      <w:numFmt w:val="bullet"/>
      <w:lvlText w:val=""/>
      <w:lvlJc w:val="left"/>
      <w:pPr>
        <w:ind w:left="4320" w:hanging="360"/>
      </w:pPr>
      <w:rPr>
        <w:rFonts w:ascii="Wingdings" w:hAnsi="Wingdings" w:hint="default"/>
      </w:rPr>
    </w:lvl>
    <w:lvl w:ilvl="6" w:tplc="9DDC94A6" w:tentative="1">
      <w:start w:val="1"/>
      <w:numFmt w:val="bullet"/>
      <w:lvlText w:val=""/>
      <w:lvlJc w:val="left"/>
      <w:pPr>
        <w:ind w:left="5040" w:hanging="360"/>
      </w:pPr>
      <w:rPr>
        <w:rFonts w:ascii="Symbol" w:hAnsi="Symbol" w:hint="default"/>
      </w:rPr>
    </w:lvl>
    <w:lvl w:ilvl="7" w:tplc="4336CF16" w:tentative="1">
      <w:start w:val="1"/>
      <w:numFmt w:val="bullet"/>
      <w:lvlText w:val="o"/>
      <w:lvlJc w:val="left"/>
      <w:pPr>
        <w:ind w:left="5760" w:hanging="360"/>
      </w:pPr>
      <w:rPr>
        <w:rFonts w:ascii="Courier New" w:hAnsi="Courier New" w:cs="Courier New" w:hint="default"/>
      </w:rPr>
    </w:lvl>
    <w:lvl w:ilvl="8" w:tplc="0FD017C0" w:tentative="1">
      <w:start w:val="1"/>
      <w:numFmt w:val="bullet"/>
      <w:lvlText w:val=""/>
      <w:lvlJc w:val="left"/>
      <w:pPr>
        <w:ind w:left="6480" w:hanging="360"/>
      </w:pPr>
      <w:rPr>
        <w:rFonts w:ascii="Wingdings" w:hAnsi="Wingdings" w:hint="default"/>
      </w:rPr>
    </w:lvl>
  </w:abstractNum>
  <w:abstractNum w:abstractNumId="5" w15:restartNumberingAfterBreak="0">
    <w:nsid w:val="79BA2634"/>
    <w:multiLevelType w:val="hybridMultilevel"/>
    <w:tmpl w:val="E96C905E"/>
    <w:lvl w:ilvl="0" w:tplc="BF1C4694">
      <w:numFmt w:val="bullet"/>
      <w:lvlText w:val="-"/>
      <w:lvlJc w:val="left"/>
      <w:pPr>
        <w:ind w:left="720" w:hanging="360"/>
      </w:pPr>
      <w:rPr>
        <w:rFonts w:ascii="Arial" w:eastAsia="Times New Roman" w:hAnsi="Arial" w:cs="Arial" w:hint="default"/>
      </w:rPr>
    </w:lvl>
    <w:lvl w:ilvl="1" w:tplc="F4C867D6" w:tentative="1">
      <w:start w:val="1"/>
      <w:numFmt w:val="bullet"/>
      <w:lvlText w:val="o"/>
      <w:lvlJc w:val="left"/>
      <w:pPr>
        <w:ind w:left="1440" w:hanging="360"/>
      </w:pPr>
      <w:rPr>
        <w:rFonts w:ascii="Courier New" w:hAnsi="Courier New" w:cs="Courier New" w:hint="default"/>
      </w:rPr>
    </w:lvl>
    <w:lvl w:ilvl="2" w:tplc="F8BC0830" w:tentative="1">
      <w:start w:val="1"/>
      <w:numFmt w:val="bullet"/>
      <w:lvlText w:val=""/>
      <w:lvlJc w:val="left"/>
      <w:pPr>
        <w:ind w:left="2160" w:hanging="360"/>
      </w:pPr>
      <w:rPr>
        <w:rFonts w:ascii="Wingdings" w:hAnsi="Wingdings" w:hint="default"/>
      </w:rPr>
    </w:lvl>
    <w:lvl w:ilvl="3" w:tplc="6FB0433A" w:tentative="1">
      <w:start w:val="1"/>
      <w:numFmt w:val="bullet"/>
      <w:lvlText w:val=""/>
      <w:lvlJc w:val="left"/>
      <w:pPr>
        <w:ind w:left="2880" w:hanging="360"/>
      </w:pPr>
      <w:rPr>
        <w:rFonts w:ascii="Symbol" w:hAnsi="Symbol" w:hint="default"/>
      </w:rPr>
    </w:lvl>
    <w:lvl w:ilvl="4" w:tplc="6D387004" w:tentative="1">
      <w:start w:val="1"/>
      <w:numFmt w:val="bullet"/>
      <w:lvlText w:val="o"/>
      <w:lvlJc w:val="left"/>
      <w:pPr>
        <w:ind w:left="3600" w:hanging="360"/>
      </w:pPr>
      <w:rPr>
        <w:rFonts w:ascii="Courier New" w:hAnsi="Courier New" w:cs="Courier New" w:hint="default"/>
      </w:rPr>
    </w:lvl>
    <w:lvl w:ilvl="5" w:tplc="AA3E8694" w:tentative="1">
      <w:start w:val="1"/>
      <w:numFmt w:val="bullet"/>
      <w:lvlText w:val=""/>
      <w:lvlJc w:val="left"/>
      <w:pPr>
        <w:ind w:left="4320" w:hanging="360"/>
      </w:pPr>
      <w:rPr>
        <w:rFonts w:ascii="Wingdings" w:hAnsi="Wingdings" w:hint="default"/>
      </w:rPr>
    </w:lvl>
    <w:lvl w:ilvl="6" w:tplc="716E28FE" w:tentative="1">
      <w:start w:val="1"/>
      <w:numFmt w:val="bullet"/>
      <w:lvlText w:val=""/>
      <w:lvlJc w:val="left"/>
      <w:pPr>
        <w:ind w:left="5040" w:hanging="360"/>
      </w:pPr>
      <w:rPr>
        <w:rFonts w:ascii="Symbol" w:hAnsi="Symbol" w:hint="default"/>
      </w:rPr>
    </w:lvl>
    <w:lvl w:ilvl="7" w:tplc="FCCCAE32" w:tentative="1">
      <w:start w:val="1"/>
      <w:numFmt w:val="bullet"/>
      <w:lvlText w:val="o"/>
      <w:lvlJc w:val="left"/>
      <w:pPr>
        <w:ind w:left="5760" w:hanging="360"/>
      </w:pPr>
      <w:rPr>
        <w:rFonts w:ascii="Courier New" w:hAnsi="Courier New" w:cs="Courier New" w:hint="default"/>
      </w:rPr>
    </w:lvl>
    <w:lvl w:ilvl="8" w:tplc="48320B2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92"/>
    <w:rsid w:val="00022231"/>
    <w:rsid w:val="00042BC5"/>
    <w:rsid w:val="00043613"/>
    <w:rsid w:val="0004428A"/>
    <w:rsid w:val="00075642"/>
    <w:rsid w:val="000F02C8"/>
    <w:rsid w:val="000F45FA"/>
    <w:rsid w:val="001009D9"/>
    <w:rsid w:val="0013017E"/>
    <w:rsid w:val="00140257"/>
    <w:rsid w:val="001405B9"/>
    <w:rsid w:val="00171769"/>
    <w:rsid w:val="00195FE6"/>
    <w:rsid w:val="001B4D82"/>
    <w:rsid w:val="001C3768"/>
    <w:rsid w:val="001C5825"/>
    <w:rsid w:val="001D1F76"/>
    <w:rsid w:val="001E29BE"/>
    <w:rsid w:val="00202106"/>
    <w:rsid w:val="0021206A"/>
    <w:rsid w:val="002330D1"/>
    <w:rsid w:val="0025009C"/>
    <w:rsid w:val="00297AF2"/>
    <w:rsid w:val="002B0ECB"/>
    <w:rsid w:val="002C14ED"/>
    <w:rsid w:val="002C46C8"/>
    <w:rsid w:val="002C4E79"/>
    <w:rsid w:val="002C7825"/>
    <w:rsid w:val="002D47AE"/>
    <w:rsid w:val="002F1EE2"/>
    <w:rsid w:val="00303B92"/>
    <w:rsid w:val="00351234"/>
    <w:rsid w:val="00365319"/>
    <w:rsid w:val="00366540"/>
    <w:rsid w:val="003753C6"/>
    <w:rsid w:val="00386EDD"/>
    <w:rsid w:val="003A0E88"/>
    <w:rsid w:val="003B3EC6"/>
    <w:rsid w:val="003C1C36"/>
    <w:rsid w:val="003D4913"/>
    <w:rsid w:val="003D5286"/>
    <w:rsid w:val="003D6E23"/>
    <w:rsid w:val="003E338B"/>
    <w:rsid w:val="0040119B"/>
    <w:rsid w:val="00405497"/>
    <w:rsid w:val="00407DF7"/>
    <w:rsid w:val="004211FB"/>
    <w:rsid w:val="004577C4"/>
    <w:rsid w:val="00464434"/>
    <w:rsid w:val="00484791"/>
    <w:rsid w:val="004973D1"/>
    <w:rsid w:val="004A023A"/>
    <w:rsid w:val="004A46A4"/>
    <w:rsid w:val="00507B65"/>
    <w:rsid w:val="0051293D"/>
    <w:rsid w:val="00544C47"/>
    <w:rsid w:val="005A10FE"/>
    <w:rsid w:val="005B55A0"/>
    <w:rsid w:val="005C7604"/>
    <w:rsid w:val="005F3D5B"/>
    <w:rsid w:val="00600F95"/>
    <w:rsid w:val="0060454C"/>
    <w:rsid w:val="00624262"/>
    <w:rsid w:val="006C3583"/>
    <w:rsid w:val="006C46BE"/>
    <w:rsid w:val="006C6C1B"/>
    <w:rsid w:val="006D2853"/>
    <w:rsid w:val="006D717E"/>
    <w:rsid w:val="006E655C"/>
    <w:rsid w:val="006F52D2"/>
    <w:rsid w:val="00741AD9"/>
    <w:rsid w:val="0079367C"/>
    <w:rsid w:val="007940A3"/>
    <w:rsid w:val="007B0C75"/>
    <w:rsid w:val="007C1B0C"/>
    <w:rsid w:val="007D09B1"/>
    <w:rsid w:val="007D43E8"/>
    <w:rsid w:val="0081443C"/>
    <w:rsid w:val="00822B7C"/>
    <w:rsid w:val="00841185"/>
    <w:rsid w:val="00884B9C"/>
    <w:rsid w:val="008A0928"/>
    <w:rsid w:val="008C045B"/>
    <w:rsid w:val="008F42EF"/>
    <w:rsid w:val="009061B1"/>
    <w:rsid w:val="009100FD"/>
    <w:rsid w:val="00913C34"/>
    <w:rsid w:val="009151F4"/>
    <w:rsid w:val="00917FCD"/>
    <w:rsid w:val="00931D55"/>
    <w:rsid w:val="00936C41"/>
    <w:rsid w:val="00940D4B"/>
    <w:rsid w:val="009726D3"/>
    <w:rsid w:val="009922A5"/>
    <w:rsid w:val="009B233A"/>
    <w:rsid w:val="009B6EB2"/>
    <w:rsid w:val="009C7CBC"/>
    <w:rsid w:val="00A225FD"/>
    <w:rsid w:val="00A24404"/>
    <w:rsid w:val="00A322CC"/>
    <w:rsid w:val="00A72F9D"/>
    <w:rsid w:val="00A837DF"/>
    <w:rsid w:val="00A855E0"/>
    <w:rsid w:val="00A8631F"/>
    <w:rsid w:val="00A97DE0"/>
    <w:rsid w:val="00AA2BB3"/>
    <w:rsid w:val="00AA60B9"/>
    <w:rsid w:val="00AC61A0"/>
    <w:rsid w:val="00AE6DD0"/>
    <w:rsid w:val="00B1540E"/>
    <w:rsid w:val="00B26004"/>
    <w:rsid w:val="00B27725"/>
    <w:rsid w:val="00BA3281"/>
    <w:rsid w:val="00BB1FCA"/>
    <w:rsid w:val="00BB5670"/>
    <w:rsid w:val="00BC6350"/>
    <w:rsid w:val="00BC69B6"/>
    <w:rsid w:val="00BD0CCF"/>
    <w:rsid w:val="00BE0FF3"/>
    <w:rsid w:val="00BE1AEC"/>
    <w:rsid w:val="00C1136E"/>
    <w:rsid w:val="00C3766C"/>
    <w:rsid w:val="00C42A1F"/>
    <w:rsid w:val="00C439F7"/>
    <w:rsid w:val="00C44558"/>
    <w:rsid w:val="00C47726"/>
    <w:rsid w:val="00C5441A"/>
    <w:rsid w:val="00C632C1"/>
    <w:rsid w:val="00C665B4"/>
    <w:rsid w:val="00C71996"/>
    <w:rsid w:val="00C753CE"/>
    <w:rsid w:val="00CB5A1D"/>
    <w:rsid w:val="00CB7561"/>
    <w:rsid w:val="00CD55E6"/>
    <w:rsid w:val="00D142C3"/>
    <w:rsid w:val="00D21B40"/>
    <w:rsid w:val="00D36FAF"/>
    <w:rsid w:val="00D86854"/>
    <w:rsid w:val="00DB5050"/>
    <w:rsid w:val="00DC3413"/>
    <w:rsid w:val="00DD5DB0"/>
    <w:rsid w:val="00DD7BEC"/>
    <w:rsid w:val="00DE001B"/>
    <w:rsid w:val="00E53510"/>
    <w:rsid w:val="00E5613F"/>
    <w:rsid w:val="00E646E3"/>
    <w:rsid w:val="00E64EBD"/>
    <w:rsid w:val="00E94ACB"/>
    <w:rsid w:val="00EE2E00"/>
    <w:rsid w:val="00EE4B69"/>
    <w:rsid w:val="00F00A50"/>
    <w:rsid w:val="00F074A1"/>
    <w:rsid w:val="00F10C40"/>
    <w:rsid w:val="00F271F6"/>
    <w:rsid w:val="00F318B3"/>
    <w:rsid w:val="00F37E73"/>
    <w:rsid w:val="00F435E5"/>
    <w:rsid w:val="00F535B0"/>
    <w:rsid w:val="00F53EE1"/>
    <w:rsid w:val="00F57BB6"/>
    <w:rsid w:val="00F86818"/>
    <w:rsid w:val="00FA7B0A"/>
    <w:rsid w:val="00FB57C0"/>
    <w:rsid w:val="00FC0AD1"/>
    <w:rsid w:val="00FC3F6B"/>
    <w:rsid w:val="00FD3311"/>
    <w:rsid w:val="00FE2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59125"/>
  <w15:chartTrackingRefBased/>
  <w15:docId w15:val="{37A923B4-EA45-4F31-B7C0-D68694A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overflowPunct w:val="0"/>
      <w:autoSpaceDE w:val="0"/>
      <w:autoSpaceDN w:val="0"/>
      <w:adjustRightInd w:val="0"/>
      <w:textAlignment w:val="baseline"/>
    </w:pPr>
  </w:style>
  <w:style w:type="paragraph" w:styleId="Pieddepage">
    <w:name w:val="footer"/>
    <w:basedOn w:val="Normal"/>
    <w:pPr>
      <w:tabs>
        <w:tab w:val="center" w:pos="4536"/>
        <w:tab w:val="right" w:pos="9072"/>
      </w:tabs>
      <w:overflowPunct w:val="0"/>
      <w:autoSpaceDE w:val="0"/>
      <w:autoSpaceDN w:val="0"/>
      <w:adjustRightInd w:val="0"/>
      <w:textAlignment w:val="baseline"/>
    </w:pPr>
  </w:style>
  <w:style w:type="table" w:styleId="Grilledutableau">
    <w:name w:val="Table Grid"/>
    <w:basedOn w:val="TableauNormal"/>
    <w:rsid w:val="0030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D9B5-8344-42BC-8818-2335963C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1134</Words>
  <Characters>6241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LETTRE D'INFORMATION DES DIRECTEURS – N°100 du 15 Décembre 2008</vt:lpstr>
    </vt:vector>
  </TitlesOfParts>
  <Company>Habitat76</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D'INFORMATION DES DIRECTEURS – N°100 du 15 Décembre 2008</dc:title>
  <dc:creator>Jean-Claude METAYER</dc:creator>
  <cp:lastModifiedBy>FNDOPH</cp:lastModifiedBy>
  <cp:revision>2</cp:revision>
  <cp:lastPrinted>2010-01-21T15:49:00Z</cp:lastPrinted>
  <dcterms:created xsi:type="dcterms:W3CDTF">2021-11-22T08:45:00Z</dcterms:created>
  <dcterms:modified xsi:type="dcterms:W3CDTF">2021-11-22T08:45:00Z</dcterms:modified>
</cp:coreProperties>
</file>